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5E5CE3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5E5CE3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5E5CE3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5E5CE3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65790A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MAY 31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5E5CE3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394762" w:rsidRPr="0033562A" w:rsidRDefault="005E5CE3" w:rsidP="0033562A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5E5CE3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40.45pt;width:488.75pt;height:52.2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444F07" w:rsidRDefault="00444F07" w:rsidP="007E1D39">
                  <w:pPr>
                    <w:pStyle w:val="Heading1"/>
                    <w:spacing w:line="296" w:lineRule="atLeast"/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181818"/>
                      <w:sz w:val="20"/>
                      <w:szCs w:val="20"/>
                    </w:rPr>
                    <w:t>“</w:t>
                  </w:r>
                  <w:r w:rsidR="007849C0">
                    <w:rPr>
                      <w:rStyle w:val="Strong"/>
                      <w:rFonts w:ascii="Verdana" w:hAnsi="Verdana"/>
                      <w:color w:val="333333"/>
                      <w:sz w:val="17"/>
                      <w:szCs w:val="17"/>
                    </w:rPr>
                    <w:t>Surround yourself with only people who are going to lift you higher." - Oprah Winfrey</w:t>
                  </w:r>
                </w:p>
                <w:p w:rsidR="00444F07" w:rsidRDefault="00444F07" w:rsidP="007E1D39">
                  <w:pPr>
                    <w:spacing w:line="296" w:lineRule="atLeast"/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</w:pPr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br/>
                    <w:t xml:space="preserve">― </w:t>
                  </w:r>
                  <w:hyperlink r:id="rId10" w:history="1">
                    <w:r>
                      <w:rPr>
                        <w:rStyle w:val="Hyperlink"/>
                        <w:rFonts w:ascii="Lato" w:hAnsi="Lato"/>
                        <w:b/>
                        <w:bCs/>
                        <w:color w:val="333333"/>
                        <w:sz w:val="20"/>
                        <w:szCs w:val="20"/>
                      </w:rPr>
                      <w:t>Mark Twain</w:t>
                    </w:r>
                  </w:hyperlink>
                  <w:r>
                    <w:rPr>
                      <w:rFonts w:ascii="Merriweather" w:hAnsi="Merriweather"/>
                      <w:color w:val="181818"/>
                      <w:sz w:val="20"/>
                      <w:szCs w:val="20"/>
                    </w:rPr>
                    <w:t xml:space="preserve"> </w:t>
                  </w:r>
                </w:p>
                <w:p w:rsidR="00444F07" w:rsidRPr="00DD58C7" w:rsidRDefault="00444F07" w:rsidP="00A5597F">
                  <w:pPr>
                    <w:pStyle w:val="body-content"/>
                    <w:shd w:val="clear" w:color="auto" w:fill="E7E7E7"/>
                    <w:spacing w:line="452" w:lineRule="atLeast"/>
                    <w:textAlignment w:val="baseline"/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</w:pPr>
                  <w:r w:rsidRPr="00DD58C7">
                    <w:rPr>
                      <w:rFonts w:ascii="Helvetica" w:hAnsi="Helvetica"/>
                      <w:color w:val="333333"/>
                      <w:sz w:val="18"/>
                      <w:szCs w:val="18"/>
                      <w:shd w:val="clear" w:color="auto" w:fill="FFFFFF"/>
                    </w:rPr>
                    <w:br/>
                  </w:r>
                </w:p>
                <w:p w:rsidR="00444F07" w:rsidRDefault="00444F07" w:rsidP="002F5563">
                  <w:pPr>
                    <w:pStyle w:val="body-content"/>
                    <w:shd w:val="clear" w:color="auto" w:fill="E7E7E7"/>
                    <w:spacing w:before="0" w:beforeAutospacing="0" w:after="0" w:afterAutospacing="0" w:line="452" w:lineRule="atLeast"/>
                    <w:jc w:val="right"/>
                    <w:textAlignment w:val="baseline"/>
                    <w:rPr>
                      <w:rFonts w:ascii="Arial" w:hAnsi="Arial" w:cs="Arial"/>
                      <w:color w:val="4D4D4D"/>
                      <w:sz w:val="41"/>
                      <w:szCs w:val="41"/>
                    </w:rPr>
                  </w:pP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Fonts w:ascii="Helvetica" w:hAnsi="Helvetica"/>
                      <w:color w:val="333333"/>
                      <w:sz w:val="20"/>
                      <w:szCs w:val="20"/>
                      <w:shd w:val="clear" w:color="auto" w:fill="FFFFFF"/>
                    </w:rPr>
                    <w:t>Read more at: http://www.brainyquote.com/quotes/quotes/e/eleanorroo385439.html</w:t>
                  </w:r>
                </w:p>
                <w:p w:rsidR="00444F07" w:rsidRPr="00FE1E26" w:rsidRDefault="00444F07" w:rsidP="00FE1E26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t>.</w:t>
                  </w:r>
                  <w:r>
                    <w:rPr>
                      <w:rFonts w:ascii="Helvetica" w:hAnsi="Helvetica" w:cs="Arial"/>
                      <w:color w:val="333333"/>
                      <w:sz w:val="20"/>
                      <w:szCs w:val="20"/>
                    </w:rPr>
                    <w:br/>
                  </w:r>
                </w:p>
              </w:txbxContent>
            </v:textbox>
            <w10:wrap anchorx="page" anchory="page"/>
          </v:roundrect>
        </w:pict>
      </w:r>
    </w:p>
    <w:p w:rsidR="00394762" w:rsidRDefault="00394762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CA3CB6" w:rsidRDefault="00CA3CB6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A73FBD" w:rsidRDefault="00A73FBD" w:rsidP="00AC67E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1D290C" w:rsidRPr="00E1148D" w:rsidRDefault="008F128F" w:rsidP="00E1148D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7476C" w:rsidRDefault="0027476C" w:rsidP="0027476C">
      <w:pPr>
        <w:pStyle w:val="ListParagraph"/>
        <w:spacing w:before="120" w:after="120" w:line="240" w:lineRule="auto"/>
        <w:ind w:left="1080"/>
        <w:jc w:val="both"/>
      </w:pPr>
    </w:p>
    <w:p w:rsidR="00A472DF" w:rsidRPr="0027476C" w:rsidRDefault="00A177E2" w:rsidP="0062639E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r>
        <w:t xml:space="preserve">PIB: </w:t>
      </w:r>
      <w:hyperlink r:id="rId11" w:history="1">
        <w:r w:rsidR="00A472DF" w:rsidRPr="00456B5E">
          <w:t>The Direct Tax Dispute Resolution Scheme 2016 &amp; Equalisation Levy to come into effect from 1st June 2016</w:t>
        </w:r>
      </w:hyperlink>
    </w:p>
    <w:p w:rsidR="0027476C" w:rsidRPr="0027476C" w:rsidRDefault="00A177E2" w:rsidP="00A177E2">
      <w:pPr>
        <w:pStyle w:val="ListParagraph"/>
        <w:numPr>
          <w:ilvl w:val="0"/>
          <w:numId w:val="6"/>
        </w:numPr>
        <w:spacing w:before="120" w:after="120" w:line="240" w:lineRule="auto"/>
      </w:pPr>
      <w:r>
        <w:t xml:space="preserve">IMF: </w:t>
      </w:r>
      <w:hyperlink r:id="rId12" w:history="1">
        <w:r w:rsidR="0027476C" w:rsidRPr="00456B5E">
          <w:t>Can Globalization Still Deliver?</w:t>
        </w:r>
        <w:r w:rsidR="0027476C" w:rsidRPr="00456B5E">
          <w:br/>
          <w:t>The Challenge of Convergence in the 21st Century</w:t>
        </w:r>
      </w:hyperlink>
    </w:p>
    <w:p w:rsidR="0027476C" w:rsidRPr="0062639E" w:rsidRDefault="0027476C" w:rsidP="00DD180E">
      <w:pPr>
        <w:pStyle w:val="ListParagraph"/>
        <w:spacing w:before="120" w:after="120" w:line="240" w:lineRule="auto"/>
        <w:ind w:left="1080"/>
        <w:jc w:val="both"/>
      </w:pPr>
    </w:p>
    <w:p w:rsidR="006C2F47" w:rsidRPr="00333E4F" w:rsidRDefault="00937408" w:rsidP="00333E4F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6C2F47" w:rsidRPr="00397B55" w:rsidRDefault="006C2F47" w:rsidP="001D290C">
      <w:pPr>
        <w:pStyle w:val="ListParagraph"/>
        <w:ind w:left="1440"/>
        <w:jc w:val="both"/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</w:pPr>
    </w:p>
    <w:p w:rsidR="006C2F47" w:rsidRPr="00456B5E" w:rsidRDefault="006C2F47" w:rsidP="00456B5E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r w:rsidRPr="0062639E"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  <w:t>SEBI</w:t>
      </w:r>
      <w:r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  <w:t xml:space="preserve">: </w:t>
      </w:r>
      <w:hyperlink r:id="rId13" w:history="1">
        <w:r w:rsidR="00333E4F" w:rsidRPr="00456B5E">
          <w:t>Securities And Exchange Board Of India (Depositories And Participants) (Third Amendment) Regulations, 2016</w:t>
        </w:r>
      </w:hyperlink>
    </w:p>
    <w:p w:rsidR="00A472DF" w:rsidRPr="00456B5E" w:rsidRDefault="00A472DF" w:rsidP="00456B5E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r w:rsidRPr="007849C0">
        <w:rPr>
          <w:b/>
        </w:rPr>
        <w:t>TRAI:</w:t>
      </w:r>
      <w:r w:rsidRPr="00456B5E">
        <w:t xml:space="preserve"> </w:t>
      </w:r>
      <w:hyperlink r:id="rId14" w:history="1">
        <w:r w:rsidRPr="00456B5E">
          <w:t>TRAI releases Pre-Consultation Paper on Net N</w:t>
        </w:r>
        <w:r w:rsidRPr="00456B5E">
          <w:t>e</w:t>
        </w:r>
        <w:r w:rsidRPr="00456B5E">
          <w:t>utrality </w:t>
        </w:r>
      </w:hyperlink>
    </w:p>
    <w:p w:rsidR="00CC1238" w:rsidRDefault="00CC1238" w:rsidP="00397B55">
      <w:pPr>
        <w:pStyle w:val="ListParagraph"/>
        <w:numPr>
          <w:ilvl w:val="0"/>
          <w:numId w:val="2"/>
        </w:numPr>
        <w:jc w:val="both"/>
        <w:rPr>
          <w:rFonts w:ascii="Tahoma" w:eastAsia="Times New Roman" w:hAnsi="Tahoma" w:cs="Tahoma"/>
          <w:color w:val="000080"/>
          <w:sz w:val="18"/>
          <w:szCs w:val="18"/>
          <w:bdr w:val="none" w:sz="0" w:space="0" w:color="auto" w:frame="1"/>
          <w:lang w:val="en-IN" w:eastAsia="en-IN"/>
        </w:rPr>
      </w:pPr>
      <w:r>
        <w:rPr>
          <w:rFonts w:ascii="Tahoma" w:eastAsia="Times New Roman" w:hAnsi="Tahoma" w:cs="Tahoma"/>
          <w:color w:val="000080"/>
          <w:bdr w:val="none" w:sz="0" w:space="0" w:color="auto" w:frame="1"/>
          <w:lang w:val="en-IN" w:eastAsia="en-IN"/>
        </w:rPr>
        <w:t>IT</w:t>
      </w:r>
    </w:p>
    <w:p w:rsidR="00CC1238" w:rsidRPr="00456B5E" w:rsidRDefault="00CC1238" w:rsidP="007849C0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15" w:history="1">
        <w:r w:rsidRPr="00456B5E">
          <w:t>Circular 21 of 2016: Clarification regarding cancellation of registration u/s 12AA of the Income-tax Act, 1961 in certain circumstances</w:t>
        </w:r>
      </w:hyperlink>
    </w:p>
    <w:p w:rsidR="00CC1238" w:rsidRPr="00456B5E" w:rsidRDefault="00CC1238" w:rsidP="007849C0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 w:rsidRPr="00456B5E">
        <w:t>Circular 12/ 2016</w:t>
      </w:r>
      <w:hyperlink r:id="rId16" w:history="1">
        <w:r w:rsidRPr="00456B5E">
          <w:t>: Admissibility of claims of deduction of Bad Debt under section 36</w:t>
        </w:r>
        <w:r w:rsidR="00A472DF" w:rsidRPr="00456B5E">
          <w:t>(2) of the Income Tax Act, 1961- reg.</w:t>
        </w:r>
      </w:hyperlink>
    </w:p>
    <w:p w:rsidR="00A472DF" w:rsidRPr="00456B5E" w:rsidRDefault="00A472DF" w:rsidP="007849C0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 w:rsidRPr="00456B5E">
        <w:t xml:space="preserve">Circular 20/2016: </w:t>
      </w:r>
      <w:hyperlink r:id="rId17" w:history="1">
        <w:r w:rsidRPr="00456B5E">
          <w:t>E- filling of appeals Extension of time limit</w:t>
        </w:r>
      </w:hyperlink>
    </w:p>
    <w:p w:rsidR="00A472DF" w:rsidRPr="00456B5E" w:rsidRDefault="00A472DF" w:rsidP="007849C0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18" w:history="1">
        <w:r w:rsidRPr="00456B5E">
          <w:t>Clarifications for implementation of FATCA and CRS-re</w:t>
        </w:r>
      </w:hyperlink>
      <w:r>
        <w:t>g</w:t>
      </w:r>
    </w:p>
    <w:p w:rsidR="006C2F47" w:rsidRPr="00456B5E" w:rsidRDefault="00A472DF" w:rsidP="007849C0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hyperlink r:id="rId19" w:history="1">
        <w:r w:rsidRPr="00456B5E">
          <w:t>The Direct Tax Dispute Resolution Scheme Rules, 2016</w:t>
        </w:r>
      </w:hyperlink>
    </w:p>
    <w:p w:rsidR="00DA194D" w:rsidRPr="0062748B" w:rsidRDefault="002A6D9A" w:rsidP="0062748B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D3D6A">
        <w:rPr>
          <w:rFonts w:asciiTheme="majorHAnsi" w:hAnsiTheme="majorHAnsi"/>
          <w:b/>
          <w:bCs/>
          <w:color w:val="002060"/>
          <w:sz w:val="20"/>
          <w:szCs w:val="20"/>
        </w:rPr>
        <w:t>ICSI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 xml:space="preserve"> News</w:t>
      </w:r>
    </w:p>
    <w:p w:rsidR="002E2637" w:rsidRDefault="00EB6016" w:rsidP="002E2637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r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  <w:t xml:space="preserve">Link to recording of </w:t>
      </w:r>
      <w:hyperlink r:id="rId20" w:tgtFrame="blank" w:history="1">
        <w:r w:rsidR="002E2637" w:rsidRPr="002E2637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Webinar on Industrial Audit held on 25th May, 2016 by CS K. S. Ravichandran</w:t>
        </w:r>
      </w:hyperlink>
      <w:r w:rsidR="002E2637">
        <w:rPr>
          <w:rFonts w:eastAsia="Times New Roman"/>
          <w:noProof/>
          <w:lang w:val="en-IN" w:eastAsia="en-IN"/>
        </w:rPr>
        <w:drawing>
          <wp:inline distT="0" distB="0" distL="0" distR="0">
            <wp:extent cx="224155" cy="116840"/>
            <wp:effectExtent l="19050" t="0" r="4445" b="0"/>
            <wp:docPr id="1" name="Picture 1" descr="http://www.icsi.edu/docs/Portals/0/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csi.edu/docs/Portals/0/new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637" w:rsidRPr="002E2637" w:rsidRDefault="002E2637" w:rsidP="002E2637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82" w:lineRule="atLeast"/>
        <w:jc w:val="both"/>
        <w:rPr>
          <w:rFonts w:ascii="Tahoma" w:eastAsia="Times New Roman" w:hAnsi="Tahoma" w:cs="Tahoma"/>
          <w:color w:val="000080"/>
          <w:sz w:val="18"/>
          <w:szCs w:val="18"/>
          <w:lang w:val="en-IN" w:eastAsia="en-IN"/>
        </w:rPr>
      </w:pPr>
      <w:hyperlink r:id="rId22" w:tgtFrame="blank" w:history="1">
        <w:r w:rsidRPr="002E2637">
          <w:rPr>
            <w:rFonts w:ascii="Tahoma" w:eastAsia="Times New Roman" w:hAnsi="Tahoma" w:cs="Tahoma"/>
            <w:color w:val="000080"/>
            <w:sz w:val="18"/>
            <w:szCs w:val="18"/>
            <w:bdr w:val="none" w:sz="0" w:space="0" w:color="auto" w:frame="1"/>
            <w:lang w:val="en-IN" w:eastAsia="en-IN"/>
          </w:rPr>
          <w:t>The Insolvency and Bankruptcy Code, 2016</w:t>
        </w:r>
      </w:hyperlink>
      <w:r>
        <w:rPr>
          <w:rFonts w:eastAsia="Times New Roman"/>
          <w:noProof/>
          <w:lang w:val="en-IN" w:eastAsia="en-IN"/>
        </w:rPr>
        <w:drawing>
          <wp:inline distT="0" distB="0" distL="0" distR="0">
            <wp:extent cx="224155" cy="116840"/>
            <wp:effectExtent l="19050" t="0" r="4445" b="0"/>
            <wp:docPr id="2" name="Picture 2" descr="http://www.icsi.edu/docs/Portals/0/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csi.edu/docs/Portals/0/new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DD180E" w:rsidRPr="003F0D37" w:rsidRDefault="00DD180E" w:rsidP="00DD180E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>
        <w:rPr>
          <w:rFonts w:ascii="Arial,Italic" w:hAnsi="Arial,Italic" w:cs="Arial,Italic"/>
          <w:i/>
          <w:iCs/>
          <w:sz w:val="20"/>
          <w:szCs w:val="20"/>
          <w:lang w:val="en-IN"/>
        </w:rPr>
        <w:t>Amicus Curiae”</w:t>
      </w:r>
    </w:p>
    <w:p w:rsidR="00DD180E" w:rsidRDefault="00DD180E" w:rsidP="00DD18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 friend of court member of the bar who is appointed to assist the Court</w:t>
      </w:r>
    </w:p>
    <w:p w:rsidR="003B2450" w:rsidRDefault="003B2450" w:rsidP="003B24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456B5E">
        <w:rPr>
          <w:rFonts w:asciiTheme="majorHAnsi" w:hAnsiTheme="majorHAnsi"/>
          <w:bCs/>
          <w:color w:val="002060"/>
          <w:sz w:val="16"/>
          <w:szCs w:val="16"/>
        </w:rPr>
        <w:t xml:space="preserve"> 15:26 P</w:t>
      </w:r>
      <w:r w:rsidR="00B125F3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3"/>
        <w:gridCol w:w="2264"/>
        <w:gridCol w:w="3018"/>
        <w:gridCol w:w="1801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1C040C" w:rsidP="001C040C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F35439" w:rsidRPr="00643F3A" w:rsidRDefault="007849C0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26,690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(-35.24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7849C0" w:rsidP="0062748B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8,162</w:t>
            </w:r>
            <w:r w:rsidR="00D86612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</w:t>
            </w:r>
            <w:r w:rsidR="00D86612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15.40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7849C0" w:rsidP="00736655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28,624</w:t>
            </w:r>
            <w:r w:rsidR="00A93FD9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9279B7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21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FE1E26" w:rsidRPr="00643F3A" w:rsidRDefault="007849C0" w:rsidP="001547A2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67.19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0.03</w:t>
            </w:r>
            <w:r w:rsidR="004749D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DD58C7" w:rsidRDefault="00DD58C7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</w:p>
    <w:p w:rsidR="00376AC8" w:rsidRPr="00C73CB6" w:rsidRDefault="005E5CE3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5E5CE3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3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4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5"/>
      <w:footerReference w:type="default" r:id="rId26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A38" w:rsidRDefault="00162A38" w:rsidP="00A833B6">
      <w:pPr>
        <w:spacing w:after="0" w:line="240" w:lineRule="auto"/>
      </w:pPr>
      <w:r>
        <w:separator/>
      </w:r>
    </w:p>
  </w:endnote>
  <w:endnote w:type="continuationSeparator" w:id="1">
    <w:p w:rsidR="00162A38" w:rsidRDefault="00162A38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a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A38" w:rsidRDefault="00162A38" w:rsidP="00A833B6">
      <w:pPr>
        <w:spacing w:after="0" w:line="240" w:lineRule="auto"/>
      </w:pPr>
      <w:r>
        <w:separator/>
      </w:r>
    </w:p>
  </w:footnote>
  <w:footnote w:type="continuationSeparator" w:id="1">
    <w:p w:rsidR="00162A38" w:rsidRDefault="00162A38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F5935AD"/>
    <w:multiLevelType w:val="hybridMultilevel"/>
    <w:tmpl w:val="C7022A5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79906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5D2A"/>
    <w:rsid w:val="00016B57"/>
    <w:rsid w:val="00017B0A"/>
    <w:rsid w:val="00020255"/>
    <w:rsid w:val="00020555"/>
    <w:rsid w:val="0002062D"/>
    <w:rsid w:val="00020FAA"/>
    <w:rsid w:val="0002214B"/>
    <w:rsid w:val="00022618"/>
    <w:rsid w:val="00023C20"/>
    <w:rsid w:val="00024642"/>
    <w:rsid w:val="0002677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289F"/>
    <w:rsid w:val="000653CF"/>
    <w:rsid w:val="00065C0A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D6EE4"/>
    <w:rsid w:val="000E06D9"/>
    <w:rsid w:val="000E2267"/>
    <w:rsid w:val="000E2B2E"/>
    <w:rsid w:val="000E2BD0"/>
    <w:rsid w:val="000E4509"/>
    <w:rsid w:val="000E451E"/>
    <w:rsid w:val="000E57CC"/>
    <w:rsid w:val="000E6FED"/>
    <w:rsid w:val="000E7D70"/>
    <w:rsid w:val="000F29EA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59D8"/>
    <w:rsid w:val="001719F6"/>
    <w:rsid w:val="00173150"/>
    <w:rsid w:val="00174298"/>
    <w:rsid w:val="001745B3"/>
    <w:rsid w:val="0017539B"/>
    <w:rsid w:val="00176794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87725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F07"/>
    <w:rsid w:val="002241B2"/>
    <w:rsid w:val="00224819"/>
    <w:rsid w:val="00224DA4"/>
    <w:rsid w:val="00225CA7"/>
    <w:rsid w:val="00226F10"/>
    <w:rsid w:val="0023000B"/>
    <w:rsid w:val="00233303"/>
    <w:rsid w:val="002336C1"/>
    <w:rsid w:val="0023483D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1D56"/>
    <w:rsid w:val="00252403"/>
    <w:rsid w:val="002525F4"/>
    <w:rsid w:val="0025284D"/>
    <w:rsid w:val="0025408E"/>
    <w:rsid w:val="00254508"/>
    <w:rsid w:val="002547F0"/>
    <w:rsid w:val="002553D4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BFD"/>
    <w:rsid w:val="002E17F2"/>
    <w:rsid w:val="002E18D7"/>
    <w:rsid w:val="002E1900"/>
    <w:rsid w:val="002E2637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4517"/>
    <w:rsid w:val="00354A97"/>
    <w:rsid w:val="00356049"/>
    <w:rsid w:val="003608C3"/>
    <w:rsid w:val="00360CF3"/>
    <w:rsid w:val="00361A88"/>
    <w:rsid w:val="00362235"/>
    <w:rsid w:val="00362D44"/>
    <w:rsid w:val="00363958"/>
    <w:rsid w:val="00363F1C"/>
    <w:rsid w:val="00364395"/>
    <w:rsid w:val="00364466"/>
    <w:rsid w:val="003676F5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FC8"/>
    <w:rsid w:val="0038290E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32CF"/>
    <w:rsid w:val="003B3634"/>
    <w:rsid w:val="003B416A"/>
    <w:rsid w:val="003B43D9"/>
    <w:rsid w:val="003B502E"/>
    <w:rsid w:val="003B58FD"/>
    <w:rsid w:val="003C0843"/>
    <w:rsid w:val="003C105F"/>
    <w:rsid w:val="003C10A6"/>
    <w:rsid w:val="003C1A14"/>
    <w:rsid w:val="003C4316"/>
    <w:rsid w:val="003C4809"/>
    <w:rsid w:val="003C4995"/>
    <w:rsid w:val="003C78DC"/>
    <w:rsid w:val="003D027B"/>
    <w:rsid w:val="003D2D5E"/>
    <w:rsid w:val="003D48A8"/>
    <w:rsid w:val="003D5176"/>
    <w:rsid w:val="003D601D"/>
    <w:rsid w:val="003D6456"/>
    <w:rsid w:val="003D698D"/>
    <w:rsid w:val="003D7E24"/>
    <w:rsid w:val="003E05E5"/>
    <w:rsid w:val="003E15A5"/>
    <w:rsid w:val="003E4AA6"/>
    <w:rsid w:val="003E5824"/>
    <w:rsid w:val="003F0D37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2619"/>
    <w:rsid w:val="0043338C"/>
    <w:rsid w:val="00434219"/>
    <w:rsid w:val="0043790B"/>
    <w:rsid w:val="00441131"/>
    <w:rsid w:val="00444F07"/>
    <w:rsid w:val="00446124"/>
    <w:rsid w:val="00446919"/>
    <w:rsid w:val="00450AD5"/>
    <w:rsid w:val="004562E8"/>
    <w:rsid w:val="0045640D"/>
    <w:rsid w:val="00456B5E"/>
    <w:rsid w:val="00457A6A"/>
    <w:rsid w:val="00461254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49D4"/>
    <w:rsid w:val="004751AD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D0D14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5272"/>
    <w:rsid w:val="00566B0A"/>
    <w:rsid w:val="0056709A"/>
    <w:rsid w:val="005717BC"/>
    <w:rsid w:val="00571929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2730"/>
    <w:rsid w:val="005B2897"/>
    <w:rsid w:val="005B2B03"/>
    <w:rsid w:val="005B3954"/>
    <w:rsid w:val="005B3B74"/>
    <w:rsid w:val="005B4B3D"/>
    <w:rsid w:val="005B752E"/>
    <w:rsid w:val="005C438D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CF8"/>
    <w:rsid w:val="005E6D95"/>
    <w:rsid w:val="005E6F49"/>
    <w:rsid w:val="005F0018"/>
    <w:rsid w:val="005F0442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72FA7"/>
    <w:rsid w:val="00673613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0E43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10473"/>
    <w:rsid w:val="00710918"/>
    <w:rsid w:val="007131A6"/>
    <w:rsid w:val="00713D9C"/>
    <w:rsid w:val="00714F06"/>
    <w:rsid w:val="00715474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40C"/>
    <w:rsid w:val="00724D8B"/>
    <w:rsid w:val="00725169"/>
    <w:rsid w:val="00725CD4"/>
    <w:rsid w:val="007266B8"/>
    <w:rsid w:val="0072697E"/>
    <w:rsid w:val="00727469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390B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13CE"/>
    <w:rsid w:val="007C1B90"/>
    <w:rsid w:val="007C29E8"/>
    <w:rsid w:val="007C6168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2702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5DA4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E60"/>
    <w:rsid w:val="008D1952"/>
    <w:rsid w:val="008D30F4"/>
    <w:rsid w:val="008D471A"/>
    <w:rsid w:val="008D4DEA"/>
    <w:rsid w:val="008D5489"/>
    <w:rsid w:val="008D77D2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0C88"/>
    <w:rsid w:val="009215C9"/>
    <w:rsid w:val="00921C1D"/>
    <w:rsid w:val="00922239"/>
    <w:rsid w:val="00922A1D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74C1"/>
    <w:rsid w:val="009832AD"/>
    <w:rsid w:val="009834C3"/>
    <w:rsid w:val="00983F71"/>
    <w:rsid w:val="00984B5E"/>
    <w:rsid w:val="0098504F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F1735"/>
    <w:rsid w:val="009F28AD"/>
    <w:rsid w:val="009F2E0B"/>
    <w:rsid w:val="009F38F1"/>
    <w:rsid w:val="009F63E4"/>
    <w:rsid w:val="009F7450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723D9"/>
    <w:rsid w:val="00A729D2"/>
    <w:rsid w:val="00A73345"/>
    <w:rsid w:val="00A73FBD"/>
    <w:rsid w:val="00A74630"/>
    <w:rsid w:val="00A833B6"/>
    <w:rsid w:val="00A84413"/>
    <w:rsid w:val="00A850CB"/>
    <w:rsid w:val="00A85291"/>
    <w:rsid w:val="00A8609D"/>
    <w:rsid w:val="00A86597"/>
    <w:rsid w:val="00A86CC1"/>
    <w:rsid w:val="00A8752F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12FE"/>
    <w:rsid w:val="00AB140B"/>
    <w:rsid w:val="00AB1F28"/>
    <w:rsid w:val="00AB5525"/>
    <w:rsid w:val="00AB7012"/>
    <w:rsid w:val="00AB7F59"/>
    <w:rsid w:val="00AC0945"/>
    <w:rsid w:val="00AC0C19"/>
    <w:rsid w:val="00AC1D41"/>
    <w:rsid w:val="00AC2F07"/>
    <w:rsid w:val="00AC5C51"/>
    <w:rsid w:val="00AC67E7"/>
    <w:rsid w:val="00AD00E7"/>
    <w:rsid w:val="00AD17C5"/>
    <w:rsid w:val="00AD274F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2058"/>
    <w:rsid w:val="00B2299A"/>
    <w:rsid w:val="00B235C0"/>
    <w:rsid w:val="00B243C8"/>
    <w:rsid w:val="00B24B15"/>
    <w:rsid w:val="00B25F94"/>
    <w:rsid w:val="00B30480"/>
    <w:rsid w:val="00B30D8C"/>
    <w:rsid w:val="00B31795"/>
    <w:rsid w:val="00B325A6"/>
    <w:rsid w:val="00B32B68"/>
    <w:rsid w:val="00B332D9"/>
    <w:rsid w:val="00B334E8"/>
    <w:rsid w:val="00B33664"/>
    <w:rsid w:val="00B34214"/>
    <w:rsid w:val="00B34FD6"/>
    <w:rsid w:val="00B36DF4"/>
    <w:rsid w:val="00B41DB6"/>
    <w:rsid w:val="00B422AD"/>
    <w:rsid w:val="00B43BDD"/>
    <w:rsid w:val="00B43C32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986"/>
    <w:rsid w:val="00B71010"/>
    <w:rsid w:val="00B75E6E"/>
    <w:rsid w:val="00B77508"/>
    <w:rsid w:val="00B7796B"/>
    <w:rsid w:val="00B802C8"/>
    <w:rsid w:val="00B8279A"/>
    <w:rsid w:val="00B85721"/>
    <w:rsid w:val="00B85825"/>
    <w:rsid w:val="00B85BEF"/>
    <w:rsid w:val="00B87453"/>
    <w:rsid w:val="00B9076F"/>
    <w:rsid w:val="00B945D7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5075"/>
    <w:rsid w:val="00BB5C04"/>
    <w:rsid w:val="00BB639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BF5"/>
    <w:rsid w:val="00BE3CFC"/>
    <w:rsid w:val="00BE4B54"/>
    <w:rsid w:val="00BE5D09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28"/>
    <w:rsid w:val="00C0793E"/>
    <w:rsid w:val="00C07F2C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263"/>
    <w:rsid w:val="00C239B3"/>
    <w:rsid w:val="00C24E8C"/>
    <w:rsid w:val="00C25E58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3065"/>
    <w:rsid w:val="00C872FF"/>
    <w:rsid w:val="00C87A1A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CA"/>
    <w:rsid w:val="00D229F4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DEB"/>
    <w:rsid w:val="00D51F0D"/>
    <w:rsid w:val="00D535C2"/>
    <w:rsid w:val="00D53A58"/>
    <w:rsid w:val="00D540FE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563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4613"/>
    <w:rsid w:val="00DA48CA"/>
    <w:rsid w:val="00DA4F27"/>
    <w:rsid w:val="00DA552D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42B1"/>
    <w:rsid w:val="00E06784"/>
    <w:rsid w:val="00E111EA"/>
    <w:rsid w:val="00E1148D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5463"/>
    <w:rsid w:val="00E25CAB"/>
    <w:rsid w:val="00E26865"/>
    <w:rsid w:val="00E26D82"/>
    <w:rsid w:val="00E26EF3"/>
    <w:rsid w:val="00E27E2A"/>
    <w:rsid w:val="00E30EB0"/>
    <w:rsid w:val="00E3159D"/>
    <w:rsid w:val="00E316EE"/>
    <w:rsid w:val="00E361E0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6016"/>
    <w:rsid w:val="00EB724B"/>
    <w:rsid w:val="00EB7E89"/>
    <w:rsid w:val="00EC1FA6"/>
    <w:rsid w:val="00EC5EEB"/>
    <w:rsid w:val="00EC5F79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237A"/>
    <w:rsid w:val="00F3459F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90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ebi.gov.in/cms/sebi_data/attachdocs/1464609001147.pdf" TargetMode="External"/><Relationship Id="rId18" Type="http://schemas.openxmlformats.org/officeDocument/2006/relationships/hyperlink" Target="http://www.incometaxindia.gov.in/news/clarification-for-fatca-and-crs-26-05-2016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3.gif"/><Relationship Id="rId7" Type="http://schemas.openxmlformats.org/officeDocument/2006/relationships/endnotes" Target="endnotes.xml"/><Relationship Id="rId12" Type="http://schemas.openxmlformats.org/officeDocument/2006/relationships/hyperlink" Target="http://www.imf.org/external/np/speeches/2016/052416a.htm" TargetMode="External"/><Relationship Id="rId17" Type="http://schemas.openxmlformats.org/officeDocument/2006/relationships/hyperlink" Target="http://www.incometaxindia.gov.in/communications/circular/circular202016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ncometaxindia.gov.in/communications/circular/circular122016.pdf" TargetMode="External"/><Relationship Id="rId20" Type="http://schemas.openxmlformats.org/officeDocument/2006/relationships/hyperlink" Target="https://youtu.be/yFuYfUJ0Yq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ib.nic.in/newsite/erelease.aspx?relid=145796" TargetMode="External"/><Relationship Id="rId24" Type="http://schemas.openxmlformats.org/officeDocument/2006/relationships/hyperlink" Target="http://www.icsi.edu/Member/CSUpdat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cometaxindia.gov.in/communications/circular/circular212016.pdf" TargetMode="External"/><Relationship Id="rId23" Type="http://schemas.openxmlformats.org/officeDocument/2006/relationships/hyperlink" Target="mailto:csupdate@icsi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oodreads.com/author/show/1244.Mark_Twain" TargetMode="External"/><Relationship Id="rId19" Type="http://schemas.openxmlformats.org/officeDocument/2006/relationships/hyperlink" Target="http://www.incometaxindia.gov.in/communications/notification/notification35_201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rai.gov.in/Content/news/91391_0.aspx" TargetMode="External"/><Relationship Id="rId22" Type="http://schemas.openxmlformats.org/officeDocument/2006/relationships/hyperlink" Target="http://www.icsi.edu/WebModules/Insolvency_Code2016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6549C-14D5-432E-8D73-5913E143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10</cp:revision>
  <cp:lastPrinted>2016-02-03T06:08:00Z</cp:lastPrinted>
  <dcterms:created xsi:type="dcterms:W3CDTF">2016-05-31T07:57:00Z</dcterms:created>
  <dcterms:modified xsi:type="dcterms:W3CDTF">2016-05-31T10:06:00Z</dcterms:modified>
</cp:coreProperties>
</file>