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D540FE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D540FE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D540FE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D540FE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860923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27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D540FE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D540FE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D540FE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40.45pt;width:488.75pt;height:52.2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444F07" w:rsidRDefault="00444F07" w:rsidP="007E1D39">
                  <w:pPr>
                    <w:pStyle w:val="Heading1"/>
                    <w:spacing w:line="296" w:lineRule="atLeast"/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  <w:t>“</w:t>
                  </w:r>
                  <w:r w:rsidR="00E1148D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 xml:space="preserve">You can be a complainer or you can be an achiever, but you can’t be both. </w:t>
                  </w:r>
                  <w:r w:rsidR="00397B55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“</w:t>
                  </w:r>
                </w:p>
                <w:p w:rsidR="00444F07" w:rsidRDefault="00444F07" w:rsidP="007E1D39">
                  <w:pPr>
                    <w:spacing w:line="296" w:lineRule="atLeast"/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br/>
                    <w:t xml:space="preserve">― </w:t>
                  </w:r>
                  <w:hyperlink r:id="rId10" w:history="1">
                    <w:r>
                      <w:rPr>
                        <w:rStyle w:val="Hyperlink"/>
                        <w:rFonts w:ascii="Lato" w:hAnsi="Lato"/>
                        <w:b/>
                        <w:bCs/>
                        <w:color w:val="333333"/>
                        <w:sz w:val="20"/>
                        <w:szCs w:val="20"/>
                      </w:rPr>
                      <w:t>Mark Twain</w:t>
                    </w:r>
                  </w:hyperlink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 xml:space="preserve"> </w:t>
                  </w:r>
                </w:p>
                <w:p w:rsidR="00444F07" w:rsidRPr="00DD58C7" w:rsidRDefault="00444F07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DD58C7"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  <w:br/>
                  </w:r>
                </w:p>
                <w:p w:rsidR="00444F07" w:rsidRDefault="00444F07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444F07" w:rsidRPr="00FE1E26" w:rsidRDefault="00444F07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73FBD" w:rsidRDefault="00A73FBD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1D290C" w:rsidRPr="00E1148D" w:rsidRDefault="008F128F" w:rsidP="00E1148D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D290C" w:rsidRPr="001D290C" w:rsidRDefault="001D290C" w:rsidP="001D29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</w:pPr>
      <w:r>
        <w:rPr>
          <w:rFonts w:ascii="Arial" w:hAnsi="Arial" w:cs="Arial"/>
          <w:color w:val="000000"/>
          <w:sz w:val="17"/>
          <w:szCs w:val="17"/>
          <w:shd w:val="clear" w:color="auto" w:fill="F2F2F2"/>
        </w:rPr>
        <w:t xml:space="preserve">IRDAI: </w:t>
      </w:r>
    </w:p>
    <w:p w:rsidR="001D2E44" w:rsidRPr="001D290C" w:rsidRDefault="001D290C" w:rsidP="001D290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1" w:history="1">
        <w:r w:rsidRPr="001D290C">
          <w:rPr>
            <w:rStyle w:val="Hyperlink"/>
            <w:rFonts w:ascii="Arial" w:hAnsi="Arial" w:cs="Arial"/>
            <w:sz w:val="17"/>
            <w:szCs w:val="17"/>
            <w:shd w:val="clear" w:color="auto" w:fill="F2F2F2"/>
          </w:rPr>
          <w:t>Licensed Individual Surveyors</w:t>
        </w:r>
      </w:hyperlink>
    </w:p>
    <w:p w:rsidR="001D290C" w:rsidRDefault="001D290C" w:rsidP="001D290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2" w:history="1">
        <w:r w:rsidRPr="001D290C">
          <w:rPr>
            <w:rStyle w:val="Hyperlink"/>
            <w:rFonts w:ascii="Arial" w:hAnsi="Arial" w:cs="Arial"/>
            <w:sz w:val="17"/>
            <w:szCs w:val="17"/>
            <w:shd w:val="clear" w:color="auto" w:fill="F2F2F2"/>
          </w:rPr>
          <w:t>Corporate Surveyors</w:t>
        </w:r>
      </w:hyperlink>
    </w:p>
    <w:p w:rsidR="00CB66CA" w:rsidRDefault="00937408" w:rsidP="00DD58C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6C2F47" w:rsidRPr="001D290C" w:rsidRDefault="006C2F47" w:rsidP="001D290C">
      <w:pPr>
        <w:jc w:val="both"/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</w:pPr>
    </w:p>
    <w:p w:rsidR="006C2F47" w:rsidRDefault="006C2F47" w:rsidP="00397B55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</w:pPr>
      <w:r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t>RBI:</w:t>
      </w:r>
    </w:p>
    <w:p w:rsidR="006C2F47" w:rsidRPr="00E1148D" w:rsidRDefault="006C2F47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13" w:history="1"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Master Direction- Reserve Bank of India (Financial Services provided by Banks) Directions, 2016</w:t>
        </w:r>
      </w:hyperlink>
    </w:p>
    <w:p w:rsidR="006C2F47" w:rsidRPr="00E1148D" w:rsidRDefault="006C2F47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14" w:history="1"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Foreign Exchange Management Act, 1999 (FEMA) Foreign Exchange (Compounding Proceedings) Rules, 2000 (the Rules) - Compounding of Contraventions under FEMA, 1999</w:t>
        </w:r>
      </w:hyperlink>
    </w:p>
    <w:p w:rsidR="006C2F47" w:rsidRPr="00E1148D" w:rsidRDefault="006C2F47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15" w:history="1"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Export Data Processing and Monitoring System (EDPMS) – Additional modules for caution listing of exporters, reporting of advance remittance for exports and migration of old XOS data</w:t>
        </w:r>
      </w:hyperlink>
    </w:p>
    <w:p w:rsidR="006C2F47" w:rsidRPr="00E1148D" w:rsidRDefault="006C2F47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16" w:history="1"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 xml:space="preserve">Review of Framework for </w:t>
        </w:r>
        <w:proofErr w:type="spellStart"/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Revitalising</w:t>
        </w:r>
        <w:proofErr w:type="spellEnd"/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 xml:space="preserve"> Distressed Assets in the Economy and Strategic Debt Restructuring Mechanism</w:t>
        </w:r>
      </w:hyperlink>
    </w:p>
    <w:p w:rsidR="006C2F47" w:rsidRPr="00E1148D" w:rsidRDefault="006C2F47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17" w:history="1"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 xml:space="preserve">ATMs - Security and Risk </w:t>
        </w:r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M</w:t>
        </w:r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itigation Measures for Card Present (CP) Transactions</w:t>
        </w:r>
      </w:hyperlink>
    </w:p>
    <w:p w:rsidR="00892D2F" w:rsidRPr="00E1148D" w:rsidRDefault="006C2F47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18" w:history="1"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Credit information reporting in respect of Self Help Group (SHG) members</w:t>
        </w:r>
      </w:hyperlink>
      <w:r w:rsidR="00892D2F" w:rsidRPr="00E1148D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</w:p>
    <w:p w:rsidR="006C2F47" w:rsidRPr="00397B55" w:rsidRDefault="006C2F47" w:rsidP="001D290C">
      <w:pPr>
        <w:pStyle w:val="ListParagraph"/>
        <w:ind w:left="1440"/>
        <w:jc w:val="both"/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</w:pPr>
    </w:p>
    <w:p w:rsidR="006C2F47" w:rsidRDefault="006C2F47" w:rsidP="00397B55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r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  <w:t xml:space="preserve">SEBI: </w:t>
      </w:r>
    </w:p>
    <w:p w:rsidR="006C2F47" w:rsidRPr="00E1148D" w:rsidRDefault="006C2F47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19" w:history="1">
        <w:r w:rsidR="00E1148D">
          <w:rPr>
            <w:rFonts w:asciiTheme="majorHAnsi" w:hAnsiTheme="majorHAnsi"/>
            <w:bCs/>
            <w:color w:val="002060"/>
            <w:sz w:val="18"/>
            <w:szCs w:val="18"/>
          </w:rPr>
          <w:t>S</w:t>
        </w:r>
        <w:r w:rsidR="00E1148D" w:rsidRPr="00E1148D">
          <w:rPr>
            <w:rFonts w:asciiTheme="majorHAnsi" w:hAnsiTheme="majorHAnsi"/>
            <w:bCs/>
            <w:color w:val="002060"/>
            <w:sz w:val="18"/>
            <w:szCs w:val="18"/>
          </w:rPr>
          <w:t>ecurities And Exchange Board Of India (Substantial Acquisition Of Shares And Takeovers) (Second Amendment) Regulations, 2016</w:t>
        </w:r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 xml:space="preserve"> (</w:t>
        </w:r>
        <w:proofErr w:type="spellStart"/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w.e.f</w:t>
        </w:r>
        <w:proofErr w:type="spellEnd"/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. May 25, 2016)</w:t>
        </w:r>
      </w:hyperlink>
    </w:p>
    <w:p w:rsidR="006C2F47" w:rsidRPr="00E1148D" w:rsidRDefault="006C2F47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20" w:history="1"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Securities and Exchange Board of India(Issue and Listing of Debt Securities) (Amendment) Regulations, 2016 (</w:t>
        </w:r>
        <w:proofErr w:type="spellStart"/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w.e.f</w:t>
        </w:r>
        <w:proofErr w:type="spellEnd"/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. May 25, 2016)</w:t>
        </w:r>
      </w:hyperlink>
    </w:p>
    <w:p w:rsidR="006C2F47" w:rsidRPr="00E1148D" w:rsidRDefault="006C2F47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21" w:history="1"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Securities and Exchange Board of India (Intermediaries) (Amendment) Regulations, 2016 (</w:t>
        </w:r>
        <w:proofErr w:type="spellStart"/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w.e.f</w:t>
        </w:r>
        <w:proofErr w:type="spellEnd"/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. May 25,2016)</w:t>
        </w:r>
      </w:hyperlink>
    </w:p>
    <w:p w:rsidR="006C2F47" w:rsidRPr="00E1148D" w:rsidRDefault="006C2F47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22" w:history="1"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Securities and Exchange Board of India (Issue and Listing of Non-Convertible Redeemable Preference Shares)(Amendment)Regulations, 2016 (</w:t>
        </w:r>
        <w:proofErr w:type="spellStart"/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w.e.f</w:t>
        </w:r>
        <w:proofErr w:type="spellEnd"/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. May 25, 2016)</w:t>
        </w:r>
      </w:hyperlink>
    </w:p>
    <w:p w:rsidR="001D290C" w:rsidRPr="00E1148D" w:rsidRDefault="001D290C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23" w:history="1"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Securities and Exchange Board of India(Issue and Listing of Debt Securities) (Amendment) Regulations, 2016 (</w:t>
        </w:r>
        <w:proofErr w:type="spellStart"/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w.e.f</w:t>
        </w:r>
        <w:proofErr w:type="spellEnd"/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. May 25, 2016)</w:t>
        </w:r>
      </w:hyperlink>
    </w:p>
    <w:p w:rsidR="001D290C" w:rsidRPr="00E1148D" w:rsidRDefault="001D290C" w:rsidP="00E1148D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Theme="majorHAnsi" w:hAnsiTheme="majorHAnsi"/>
          <w:bCs/>
          <w:color w:val="002060"/>
          <w:sz w:val="18"/>
          <w:szCs w:val="18"/>
        </w:rPr>
      </w:pPr>
      <w:hyperlink r:id="rId24" w:history="1">
        <w:r w:rsidRPr="00E1148D">
          <w:rPr>
            <w:rFonts w:asciiTheme="majorHAnsi" w:hAnsiTheme="majorHAnsi"/>
            <w:bCs/>
            <w:color w:val="002060"/>
            <w:sz w:val="18"/>
            <w:szCs w:val="18"/>
          </w:rPr>
          <w:t>Securities and Exchange Board of India (Listing Obligations and Disclosure Requirements) (Amendment) Regulations 2016</w:t>
        </w:r>
      </w:hyperlink>
    </w:p>
    <w:p w:rsidR="006C2F47" w:rsidRDefault="006C2F47" w:rsidP="001D290C">
      <w:pPr>
        <w:pStyle w:val="ListParagraph"/>
        <w:ind w:left="1440"/>
        <w:jc w:val="both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4751AD" w:rsidRPr="004751AD" w:rsidRDefault="004751AD" w:rsidP="004751AD">
      <w:pPr>
        <w:numPr>
          <w:ilvl w:val="0"/>
          <w:numId w:val="3"/>
        </w:numPr>
        <w:shd w:val="clear" w:color="auto" w:fill="FFFFFF"/>
        <w:spacing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5" w:tgtFrame="blank" w:history="1">
        <w:r w:rsidRPr="004751AD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National Seminar on Entrepreneurship, Skill Development and Governance in MSMEs on May 28, 2016 at Jaipur</w:t>
        </w:r>
      </w:hyperlink>
      <w:r w:rsidRPr="004751AD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t xml:space="preserve"> </w:t>
      </w:r>
      <w:hyperlink r:id="rId26" w:tgtFrame="blank" w:history="1">
        <w:r w:rsidRPr="004751AD">
          <w:rPr>
            <w:rFonts w:ascii="Tahoma" w:eastAsia="Times New Roman" w:hAnsi="Tahoma" w:cs="Tahoma"/>
            <w:i/>
            <w:iCs/>
            <w:color w:val="000080"/>
            <w:sz w:val="18"/>
            <w:lang w:val="en-IN" w:eastAsia="en-IN"/>
          </w:rPr>
          <w:t>Programme Schedule</w:t>
        </w:r>
      </w:hyperlink>
      <w:r w:rsidRPr="004751AD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t xml:space="preserve"> </w:t>
      </w:r>
    </w:p>
    <w:p w:rsidR="00DD58C7" w:rsidRPr="00E1148D" w:rsidRDefault="004751AD" w:rsidP="00E114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7" w:tgtFrame="blank" w:history="1">
        <w:r w:rsidRPr="004751AD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Companies (Corporate Social Responsibility Policy) Amendment Rules, 2016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lastRenderedPageBreak/>
        <w:t>Legal Term</w:t>
      </w:r>
    </w:p>
    <w:p w:rsidR="00A42A32" w:rsidRPr="003F0D37" w:rsidRDefault="00F97458" w:rsidP="003F0D37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3F0D37">
        <w:rPr>
          <w:rFonts w:ascii="Arial,Italic" w:hAnsi="Arial,Italic" w:cs="Arial,Italic"/>
          <w:i/>
          <w:iCs/>
          <w:sz w:val="20"/>
          <w:szCs w:val="20"/>
          <w:lang w:val="en-IN"/>
        </w:rPr>
        <w:t>Actionable per se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3F0D37" w:rsidRDefault="003F0D37" w:rsidP="003F0D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The very act is punishable and no proof of damage is required.</w:t>
      </w:r>
    </w:p>
    <w:p w:rsidR="003B2450" w:rsidRDefault="003B2450" w:rsidP="003B24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3F0D37">
        <w:rPr>
          <w:rFonts w:asciiTheme="majorHAnsi" w:hAnsiTheme="majorHAnsi"/>
          <w:bCs/>
          <w:color w:val="002060"/>
          <w:sz w:val="16"/>
          <w:szCs w:val="16"/>
        </w:rPr>
        <w:t xml:space="preserve"> 11:24</w:t>
      </w:r>
      <w:r w:rsidR="007E1D39">
        <w:rPr>
          <w:rFonts w:asciiTheme="majorHAnsi" w:hAnsiTheme="majorHAnsi"/>
          <w:bCs/>
          <w:color w:val="002060"/>
          <w:sz w:val="16"/>
          <w:szCs w:val="16"/>
        </w:rPr>
        <w:t xml:space="preserve"> 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5"/>
        <w:gridCol w:w="2278"/>
        <w:gridCol w:w="3022"/>
        <w:gridCol w:w="1771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3F0D37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26,557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(190.81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3F0D37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8,135 (66.0</w:t>
            </w:r>
            <w:r w:rsidR="00397B55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3F0D37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28,762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24</w:t>
            </w:r>
            <w:r w:rsidR="00397B55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3F0D37" w:rsidP="001547A2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67.08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-.010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D540FE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D540FE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8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9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30"/>
      <w:footerReference w:type="default" r:id="rId31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DAA" w:rsidRDefault="004E7DAA" w:rsidP="00A833B6">
      <w:pPr>
        <w:spacing w:after="0" w:line="240" w:lineRule="auto"/>
      </w:pPr>
      <w:r>
        <w:separator/>
      </w:r>
    </w:p>
  </w:endnote>
  <w:endnote w:type="continuationSeparator" w:id="1">
    <w:p w:rsidR="004E7DAA" w:rsidRDefault="004E7DAA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DAA" w:rsidRDefault="004E7DAA" w:rsidP="00A833B6">
      <w:pPr>
        <w:spacing w:after="0" w:line="240" w:lineRule="auto"/>
      </w:pPr>
      <w:r>
        <w:separator/>
      </w:r>
    </w:p>
  </w:footnote>
  <w:footnote w:type="continuationSeparator" w:id="1">
    <w:p w:rsidR="004E7DAA" w:rsidRDefault="004E7DAA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F5935AD"/>
    <w:multiLevelType w:val="hybridMultilevel"/>
    <w:tmpl w:val="C7022A5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B4B28"/>
    <w:multiLevelType w:val="hybridMultilevel"/>
    <w:tmpl w:val="97A658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64545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77A"/>
    <w:rsid w:val="00026FEC"/>
    <w:rsid w:val="00027BE7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483D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1D56"/>
    <w:rsid w:val="00252403"/>
    <w:rsid w:val="002525F4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D44"/>
    <w:rsid w:val="00363958"/>
    <w:rsid w:val="00363F1C"/>
    <w:rsid w:val="00364395"/>
    <w:rsid w:val="00364466"/>
    <w:rsid w:val="003676F5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D7E24"/>
    <w:rsid w:val="003E05E5"/>
    <w:rsid w:val="003E15A5"/>
    <w:rsid w:val="003E4AA6"/>
    <w:rsid w:val="003E5824"/>
    <w:rsid w:val="003F0D37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4F07"/>
    <w:rsid w:val="00446124"/>
    <w:rsid w:val="00446919"/>
    <w:rsid w:val="00450AD5"/>
    <w:rsid w:val="004562E8"/>
    <w:rsid w:val="0045640D"/>
    <w:rsid w:val="00457A6A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51AD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17BC"/>
    <w:rsid w:val="00571929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2730"/>
    <w:rsid w:val="005B2897"/>
    <w:rsid w:val="005B3954"/>
    <w:rsid w:val="005B3B74"/>
    <w:rsid w:val="005B4B3D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697E"/>
    <w:rsid w:val="00727469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680"/>
    <w:rsid w:val="00A43808"/>
    <w:rsid w:val="00A446FD"/>
    <w:rsid w:val="00A44D56"/>
    <w:rsid w:val="00A45B8F"/>
    <w:rsid w:val="00A46C52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3BDD"/>
    <w:rsid w:val="00B43C32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986"/>
    <w:rsid w:val="00B71010"/>
    <w:rsid w:val="00B75E6E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B3D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DEB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87546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3E6E"/>
    <w:rsid w:val="00DC53CC"/>
    <w:rsid w:val="00DC6705"/>
    <w:rsid w:val="00DD0D2C"/>
    <w:rsid w:val="00DD12F1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5CAB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bi.org.in/Scripts/NotificationUser.aspx?Id=10425&amp;Mode=0" TargetMode="External"/><Relationship Id="rId18" Type="http://schemas.openxmlformats.org/officeDocument/2006/relationships/hyperlink" Target="https://www.rbi.org.in/Scripts/NotificationUser.aspx?Id=10417&amp;Mode=0" TargetMode="External"/><Relationship Id="rId26" Type="http://schemas.openxmlformats.org/officeDocument/2006/relationships/hyperlink" Target="http://www.icsi.edu/docs/webmodules/Updated_ProgSheet_jaipur.pdf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%20popUp('http://www.sebi.gov.in/cms/sebi_data/attachdocs/1464246436158.pdf')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rda.gov.in/ADMINCMS/cms/whatsNew_Layout.aspx?page=PageNo2861&amp;flag=1" TargetMode="External"/><Relationship Id="rId17" Type="http://schemas.openxmlformats.org/officeDocument/2006/relationships/hyperlink" Target="https://www.rbi.org.in/Scripts/NotificationUser.aspx?Id=10421&amp;Mode=0" TargetMode="External"/><Relationship Id="rId25" Type="http://schemas.openxmlformats.org/officeDocument/2006/relationships/hyperlink" Target="http://www.icsi.edu/docs/webmodules/NS_Announcement_May282016_Jaipur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NotificationUser.aspx?Id=10422&amp;Mode=0" TargetMode="External"/><Relationship Id="rId20" Type="http://schemas.openxmlformats.org/officeDocument/2006/relationships/hyperlink" Target="javascript:%20popUp('http://www.sebi.gov.in/cms/sebi_data/attachdocs/1464245839323.pdf');" TargetMode="External"/><Relationship Id="rId29" Type="http://schemas.openxmlformats.org/officeDocument/2006/relationships/hyperlink" Target="http://www.icsi.edu/Member/CSUpdat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rda.gov.in/ADMINCMS/cms/whatsNew_Layout.aspx?page=PageNo2860&amp;flag=1" TargetMode="External"/><Relationship Id="rId24" Type="http://schemas.openxmlformats.org/officeDocument/2006/relationships/hyperlink" Target="javascript:%20popUp('http://www.sebi.gov.in/cms/sebi_data/attachdocs/1464244385630.pdf');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NotificationUser.aspx?Id=10423&amp;Mode=0" TargetMode="External"/><Relationship Id="rId23" Type="http://schemas.openxmlformats.org/officeDocument/2006/relationships/hyperlink" Target="javascript:%20popUp('http://www.sebi.gov.in/cms/sebi_data/attachdocs/1464245839323.pdf');" TargetMode="External"/><Relationship Id="rId28" Type="http://schemas.openxmlformats.org/officeDocument/2006/relationships/hyperlink" Target="mailto:csupdate@icsi.edu" TargetMode="External"/><Relationship Id="rId10" Type="http://schemas.openxmlformats.org/officeDocument/2006/relationships/hyperlink" Target="http://www.goodreads.com/author/show/1244.Mark_Twain" TargetMode="External"/><Relationship Id="rId19" Type="http://schemas.openxmlformats.org/officeDocument/2006/relationships/hyperlink" Target="javascript:%20popUp('http://www.sebi.gov.in/cms/sebi_data/attachdocs/1464245549280.pdf');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NotificationUser.aspx?Id=10424&amp;Mode=0" TargetMode="External"/><Relationship Id="rId22" Type="http://schemas.openxmlformats.org/officeDocument/2006/relationships/hyperlink" Target="javascript:%20popUp('http://www.sebi.gov.in/cms/sebi_data/attachdocs/1464246276543.pdf');" TargetMode="External"/><Relationship Id="rId27" Type="http://schemas.openxmlformats.org/officeDocument/2006/relationships/hyperlink" Target="http://www.icsi.edu/docs/webmodules/169805.pdf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DCE3-375E-48DE-9DAC-863EDE63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2016-05-27T03:58:00Z</dcterms:created>
  <dcterms:modified xsi:type="dcterms:W3CDTF">2016-05-27T05:55:00Z</dcterms:modified>
</cp:coreProperties>
</file>