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B33797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2</w:t>
      </w:r>
      <w:r w:rsidR="009B2C6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1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579CC" w:rsidRPr="00723E70" w:rsidRDefault="00B33797" w:rsidP="004579CC">
      <w:pPr>
        <w:spacing w:line="240" w:lineRule="auto"/>
        <w:jc w:val="center"/>
        <w:rPr>
          <w:rFonts w:ascii="SerifaBT-Roman" w:hAnsi="SerifaBT-Roman"/>
          <w:bCs/>
          <w:sz w:val="36"/>
          <w:szCs w:val="36"/>
        </w:rPr>
      </w:pPr>
      <w:r w:rsidRPr="00723E70">
        <w:rPr>
          <w:rFonts w:ascii="SerifaBT-Roman" w:hAnsi="SerifaBT-Roman"/>
          <w:bCs/>
          <w:sz w:val="36"/>
          <w:szCs w:val="36"/>
        </w:rPr>
        <w:t xml:space="preserve">“Courage is not the absence of fear, but rather the judgement that something else is more important than fear.” </w:t>
      </w:r>
    </w:p>
    <w:p w:rsidR="00B33797" w:rsidRPr="00723E70" w:rsidRDefault="00B33797" w:rsidP="004579CC">
      <w:pPr>
        <w:spacing w:line="240" w:lineRule="auto"/>
        <w:jc w:val="right"/>
        <w:rPr>
          <w:rFonts w:ascii="SerifaBT-Roman" w:hAnsi="SerifaBT-Roman"/>
          <w:bCs/>
          <w:i/>
          <w:sz w:val="36"/>
          <w:szCs w:val="36"/>
        </w:rPr>
      </w:pPr>
      <w:r w:rsidRPr="00723E70">
        <w:rPr>
          <w:rFonts w:ascii="SerifaBT-Roman" w:hAnsi="SerifaBT-Roman"/>
          <w:bCs/>
          <w:i/>
          <w:sz w:val="36"/>
          <w:szCs w:val="36"/>
        </w:rPr>
        <w:t xml:space="preserve"> James Neil </w:t>
      </w:r>
      <w:proofErr w:type="spellStart"/>
      <w:r w:rsidRPr="00723E70">
        <w:rPr>
          <w:rFonts w:ascii="SerifaBT-Roman" w:hAnsi="SerifaBT-Roman"/>
          <w:bCs/>
          <w:i/>
          <w:sz w:val="36"/>
          <w:szCs w:val="36"/>
        </w:rPr>
        <w:t>Hollingworth</w:t>
      </w:r>
      <w:proofErr w:type="spellEnd"/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7379F" w:rsidRDefault="00E7379F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861149" w:rsidRPr="00861149" w:rsidRDefault="00861149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861149">
        <w:rPr>
          <w:rFonts w:ascii="SerifaBT-Roman" w:hAnsi="SerifaBT-Roman" w:cstheme="minorBidi"/>
          <w:bCs/>
          <w:color w:val="auto"/>
          <w:sz w:val="36"/>
          <w:szCs w:val="36"/>
        </w:rPr>
        <w:t>Prime Minister Calls for efforts to modify Laws through Consensus</w:t>
      </w:r>
      <w:r>
        <w:rPr>
          <w:rFonts w:ascii="SerifaBT-Roman" w:hAnsi="SerifaBT-Roman" w:cstheme="minorBidi"/>
          <w:color w:val="auto"/>
          <w:sz w:val="36"/>
          <w:szCs w:val="36"/>
        </w:rPr>
        <w:t xml:space="preserve">- For details </w:t>
      </w:r>
      <w:hyperlink r:id="rId5" w:history="1">
        <w:r w:rsidRPr="00861149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</w:t>
        </w:r>
        <w:r w:rsidRPr="00861149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i</w:t>
        </w:r>
        <w:r w:rsidRPr="00861149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 xml:space="preserve">ck </w:t>
        </w:r>
        <w:r w:rsidRPr="00861149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h</w:t>
        </w:r>
        <w:r w:rsidRPr="00861149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e</w:t>
        </w:r>
        <w:r w:rsidRPr="00861149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r</w:t>
        </w:r>
        <w:r w:rsidRPr="00861149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e</w:t>
        </w:r>
      </w:hyperlink>
    </w:p>
    <w:p w:rsidR="00861149" w:rsidRPr="00861149" w:rsidRDefault="00861149" w:rsidP="00861149">
      <w:pPr>
        <w:pStyle w:val="Default"/>
        <w:ind w:left="720"/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91471" w:rsidRPr="00E91471" w:rsidRDefault="00E91471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E91471">
        <w:rPr>
          <w:rFonts w:ascii="SerifaBT-Roman" w:hAnsi="SerifaBT-Roman" w:cstheme="minorBidi"/>
          <w:bCs/>
          <w:color w:val="auto"/>
          <w:sz w:val="36"/>
          <w:szCs w:val="36"/>
        </w:rPr>
        <w:t xml:space="preserve">Ministry of Environment, Forest and Climate Change issues Public Notice on Draft Waste Management Rules, 2015- For details </w:t>
      </w:r>
      <w:hyperlink r:id="rId6" w:history="1">
        <w:r w:rsidRPr="00E91471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Pr="00E91471" w:rsidRDefault="00E91471" w:rsidP="00E91471">
      <w:pPr>
        <w:pStyle w:val="Default"/>
        <w:ind w:left="720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7379F" w:rsidRPr="00E91471" w:rsidRDefault="00E91471" w:rsidP="00E91471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E91471">
        <w:rPr>
          <w:rFonts w:ascii="SerifaBT-Roman" w:hAnsi="SerifaBT-Roman" w:cstheme="minorBidi"/>
          <w:bCs/>
          <w:color w:val="auto"/>
          <w:sz w:val="36"/>
          <w:szCs w:val="36"/>
        </w:rPr>
        <w:t>SEBI (Prohibition on Raising Further Capital From Public and Transfer of Securities of Suspended Companies) Order, 2015.</w:t>
      </w:r>
      <w:r>
        <w:rPr>
          <w:rFonts w:ascii="SerifaBT-Roman" w:hAnsi="SerifaBT-Roman" w:cstheme="minorBidi"/>
          <w:bCs/>
          <w:color w:val="auto"/>
          <w:sz w:val="36"/>
          <w:szCs w:val="36"/>
        </w:rPr>
        <w:t>-</w:t>
      </w:r>
      <w:r w:rsid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 For details </w:t>
      </w:r>
      <w:hyperlink r:id="rId7" w:history="1">
        <w:r w:rsidR="00E7379F" w:rsidRPr="00E7379F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Default="00E91471" w:rsidP="00E91471">
      <w:pPr>
        <w:pStyle w:val="ListParagraph"/>
        <w:rPr>
          <w:rFonts w:ascii="SerifaBT-Roman" w:hAnsi="SerifaBT-Roman" w:hint="eastAsia"/>
          <w:bCs/>
          <w:color w:val="FF0000"/>
          <w:sz w:val="36"/>
          <w:szCs w:val="36"/>
        </w:rPr>
      </w:pPr>
    </w:p>
    <w:p w:rsidR="009631BA" w:rsidRPr="00C5558F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 w:rsidR="00E50EBC">
        <w:rPr>
          <w:rFonts w:ascii="SerifaBT-Roman" w:hAnsi="SerifaBT-Roman"/>
          <w:b w:val="0"/>
          <w:sz w:val="36"/>
          <w:szCs w:val="36"/>
        </w:rPr>
        <w:t xml:space="preserve"> stakeholders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8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  <w:r w:rsidR="005A6E4A" w:rsidRPr="00E7379F">
        <w:rPr>
          <w:b w:val="0"/>
        </w:rPr>
        <w:t xml:space="preserve">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9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iCs/>
          <w:color w:val="0000FF"/>
          <w:sz w:val="20"/>
          <w:szCs w:val="20"/>
        </w:rPr>
      </w:pPr>
    </w:p>
    <w:p w:rsidR="004579CC" w:rsidRPr="004579CC" w:rsidRDefault="004579CC" w:rsidP="00D61876">
      <w:pPr>
        <w:spacing w:after="120" w:line="240" w:lineRule="auto"/>
        <w:jc w:val="center"/>
        <w:rPr>
          <w:rFonts w:ascii="SerifaBT-Roman" w:hAnsi="SerifaBT-Roman"/>
          <w:i/>
          <w:sz w:val="32"/>
          <w:szCs w:val="32"/>
        </w:rPr>
      </w:pPr>
      <w:r>
        <w:rPr>
          <w:rFonts w:ascii="SerifaBT-Roman" w:hAnsi="SerifaBT-Roman" w:hint="eastAsia"/>
          <w:i/>
          <w:sz w:val="32"/>
          <w:szCs w:val="32"/>
        </w:rPr>
        <w:t>“</w:t>
      </w:r>
      <w:r w:rsidRPr="004579CC">
        <w:rPr>
          <w:rFonts w:ascii="SerifaBT-Roman" w:hAnsi="SerifaBT-Roman"/>
          <w:i/>
          <w:sz w:val="32"/>
          <w:szCs w:val="32"/>
        </w:rPr>
        <w:t xml:space="preserve">Factum </w:t>
      </w:r>
      <w:proofErr w:type="spellStart"/>
      <w:r w:rsidRPr="004579CC">
        <w:rPr>
          <w:rFonts w:ascii="SerifaBT-Roman" w:hAnsi="SerifaBT-Roman"/>
          <w:i/>
          <w:sz w:val="32"/>
          <w:szCs w:val="32"/>
        </w:rPr>
        <w:t>probandum</w:t>
      </w:r>
      <w:proofErr w:type="spellEnd"/>
      <w:r>
        <w:rPr>
          <w:rFonts w:ascii="SerifaBT-Roman" w:hAnsi="SerifaBT-Roman" w:hint="eastAsia"/>
          <w:i/>
          <w:sz w:val="32"/>
          <w:szCs w:val="32"/>
        </w:rPr>
        <w:t>”</w:t>
      </w:r>
    </w:p>
    <w:p w:rsidR="004579CC" w:rsidRPr="004579CC" w:rsidRDefault="004579CC" w:rsidP="00D61876">
      <w:pPr>
        <w:spacing w:before="360" w:after="120" w:line="240" w:lineRule="auto"/>
        <w:jc w:val="center"/>
        <w:rPr>
          <w:rFonts w:ascii="SerifaBT-Roman" w:hAnsi="SerifaBT-Roman"/>
          <w:sz w:val="32"/>
          <w:szCs w:val="32"/>
        </w:rPr>
      </w:pPr>
      <w:proofErr w:type="gramStart"/>
      <w:r w:rsidRPr="004579CC">
        <w:rPr>
          <w:rFonts w:ascii="SerifaBT-Roman" w:hAnsi="SerifaBT-Roman"/>
          <w:sz w:val="32"/>
          <w:szCs w:val="32"/>
        </w:rPr>
        <w:t>Fact in issue which is to be proved.</w:t>
      </w:r>
      <w:proofErr w:type="gramEnd"/>
    </w:p>
    <w:p w:rsidR="009631BA" w:rsidRPr="00DF3B13" w:rsidRDefault="009631BA" w:rsidP="004579C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F090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</w:t>
      </w:r>
      <w:r w:rsidR="00ED7C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</w:t>
      </w:r>
      <w:r w:rsidR="000F090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.00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SENSEX</w:t>
            </w:r>
          </w:p>
          <w:p w:rsidR="009631BA" w:rsidRPr="004616E0" w:rsidRDefault="000565D0" w:rsidP="000F090A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2845</w:t>
            </w:r>
            <w:r w:rsidR="000F090A">
              <w:rPr>
                <w:rFonts w:ascii="SerifaBT-Roman" w:hAnsi="SerifaBT-Roman"/>
                <w:sz w:val="32"/>
                <w:szCs w:val="32"/>
              </w:rPr>
              <w:t>3</w:t>
            </w:r>
            <w:r>
              <w:rPr>
                <w:rFonts w:ascii="SerifaBT-Roman" w:hAnsi="SerifaBT-Roman"/>
                <w:sz w:val="32"/>
                <w:szCs w:val="32"/>
              </w:rPr>
              <w:t>.8</w:t>
            </w:r>
            <w:r w:rsidR="000F090A">
              <w:rPr>
                <w:rFonts w:ascii="SerifaBT-Roman" w:hAnsi="SerifaBT-Roman"/>
                <w:sz w:val="32"/>
                <w:szCs w:val="32"/>
              </w:rPr>
              <w:t>6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 w:rsidR="000F090A">
              <w:rPr>
                <w:rFonts w:ascii="SerifaBT-Roman" w:hAnsi="SerifaBT-Roman"/>
                <w:sz w:val="32"/>
                <w:szCs w:val="32"/>
              </w:rPr>
              <w:t>33.74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631BA" w:rsidRPr="004616E0" w:rsidRDefault="000565D0" w:rsidP="000F090A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86</w:t>
            </w:r>
            <w:r w:rsidR="000F090A">
              <w:rPr>
                <w:rFonts w:ascii="SerifaBT-Roman" w:hAnsi="SerifaBT-Roman"/>
                <w:sz w:val="32"/>
                <w:szCs w:val="32"/>
              </w:rPr>
              <w:t>1</w:t>
            </w:r>
            <w:r>
              <w:rPr>
                <w:rFonts w:ascii="SerifaBT-Roman" w:hAnsi="SerifaBT-Roman"/>
                <w:sz w:val="32"/>
                <w:szCs w:val="32"/>
              </w:rPr>
              <w:t>8.</w:t>
            </w:r>
            <w:r w:rsidR="000F090A">
              <w:rPr>
                <w:rFonts w:ascii="SerifaBT-Roman" w:hAnsi="SerifaBT-Roman"/>
                <w:sz w:val="32"/>
                <w:szCs w:val="32"/>
              </w:rPr>
              <w:t>80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 w:rsidR="000F090A">
              <w:rPr>
                <w:rFonts w:ascii="SerifaBT-Roman" w:hAnsi="SerifaBT-Roman"/>
                <w:sz w:val="32"/>
                <w:szCs w:val="32"/>
              </w:rPr>
              <w:t>15.35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>)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proofErr w:type="gramStart"/>
            <w:r w:rsidRPr="004616E0">
              <w:rPr>
                <w:rFonts w:ascii="SerifaBT-Roman" w:hAnsi="SerifaBT-Roman"/>
                <w:sz w:val="32"/>
                <w:szCs w:val="32"/>
              </w:rPr>
              <w:t>GOLD(</w:t>
            </w:r>
            <w:proofErr w:type="gramEnd"/>
            <w:r w:rsidRPr="004616E0">
              <w:rPr>
                <w:rFonts w:ascii="SerifaBT-Roman" w:hAnsi="SerifaBT-Roman"/>
                <w:sz w:val="32"/>
                <w:szCs w:val="32"/>
              </w:rPr>
              <w:t>MCX) (Rs/10g.)</w:t>
            </w:r>
          </w:p>
          <w:p w:rsidR="009631BA" w:rsidRPr="004616E0" w:rsidRDefault="004616E0" w:rsidP="000F090A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2</w:t>
            </w:r>
            <w:r w:rsidR="000F090A">
              <w:rPr>
                <w:rFonts w:ascii="SerifaBT-Roman" w:hAnsi="SerifaBT-Roman"/>
                <w:sz w:val="32"/>
                <w:szCs w:val="32"/>
              </w:rPr>
              <w:t>4933</w:t>
            </w:r>
            <w:r w:rsidRPr="004616E0">
              <w:rPr>
                <w:rFonts w:ascii="SerifaBT-Roman" w:hAnsi="SerifaBT-Roman"/>
                <w:sz w:val="32"/>
                <w:szCs w:val="32"/>
              </w:rPr>
              <w:t>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00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  <w:r w:rsidR="000F090A">
              <w:rPr>
                <w:rFonts w:ascii="SerifaBT-Roman" w:hAnsi="SerifaBT-Roman"/>
                <w:sz w:val="32"/>
                <w:szCs w:val="32"/>
              </w:rPr>
              <w:t>101.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00)</w:t>
            </w:r>
          </w:p>
        </w:tc>
        <w:tc>
          <w:tcPr>
            <w:tcW w:w="1927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631BA" w:rsidRPr="004616E0" w:rsidRDefault="009631BA" w:rsidP="000F090A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63.</w:t>
            </w:r>
            <w:r w:rsidR="000F090A">
              <w:rPr>
                <w:rFonts w:ascii="SerifaBT-Roman" w:hAnsi="SerifaBT-Roman"/>
                <w:sz w:val="32"/>
                <w:szCs w:val="32"/>
              </w:rPr>
              <w:t>72</w:t>
            </w:r>
            <w:r w:rsidRPr="004616E0">
              <w:rPr>
                <w:rFonts w:ascii="SerifaBT-Roman" w:hAnsi="SerifaBT-Roman"/>
                <w:sz w:val="32"/>
                <w:szCs w:val="32"/>
              </w:rPr>
              <w:t>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 0.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</w:t>
            </w:r>
            <w:r w:rsidR="000F090A">
              <w:rPr>
                <w:rFonts w:ascii="SerifaBT-Roman" w:hAnsi="SerifaBT-Roman"/>
                <w:sz w:val="32"/>
                <w:szCs w:val="32"/>
              </w:rPr>
              <w:t>6</w:t>
            </w:r>
            <w:r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0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proofErr w:type="gramStart"/>
      <w:r w:rsidRPr="00D0021A">
        <w:rPr>
          <w:rFonts w:ascii="SerifaBT-Roman" w:hAnsi="SerifaBT-Roman"/>
          <w:sz w:val="32"/>
          <w:szCs w:val="32"/>
        </w:rPr>
        <w:t>For</w:t>
      </w:r>
      <w:proofErr w:type="gramEnd"/>
      <w:r w:rsidRPr="00D0021A">
        <w:rPr>
          <w:rFonts w:ascii="SerifaBT-Roman" w:hAnsi="SerifaBT-Roman"/>
          <w:sz w:val="32"/>
          <w:szCs w:val="32"/>
        </w:rPr>
        <w:t xml:space="preserve"> details </w:t>
      </w:r>
      <w:hyperlink r:id="rId11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2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lastRenderedPageBreak/>
        <w:t xml:space="preserve">Two days National Research Seminar on Corporate Laws &amp; Challenges to the New Governments on 25-26 July, 2015. For details </w:t>
      </w:r>
      <w:hyperlink r:id="rId13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4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National Company Law Tribunal Conclave on July 25, 2015 at Hotel Trident, Mumbai. For details </w:t>
      </w:r>
      <w:hyperlink r:id="rId15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B45A1D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6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7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090A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C0FA6"/>
    <w:rsid w:val="001C2399"/>
    <w:rsid w:val="001C2944"/>
    <w:rsid w:val="001C40F0"/>
    <w:rsid w:val="001C789D"/>
    <w:rsid w:val="001D7560"/>
    <w:rsid w:val="001D7F92"/>
    <w:rsid w:val="001D7FF5"/>
    <w:rsid w:val="001E7983"/>
    <w:rsid w:val="001F06B1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56884"/>
    <w:rsid w:val="00571D51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54FC"/>
    <w:rsid w:val="006B0D72"/>
    <w:rsid w:val="006C39E4"/>
    <w:rsid w:val="006D386D"/>
    <w:rsid w:val="006D3F22"/>
    <w:rsid w:val="006D5219"/>
    <w:rsid w:val="006D7B4F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91C"/>
    <w:rsid w:val="008B27BE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535"/>
    <w:rsid w:val="00CD1C97"/>
    <w:rsid w:val="00CD2FAB"/>
    <w:rsid w:val="00CE4789"/>
    <w:rsid w:val="00CE78C8"/>
    <w:rsid w:val="00CF3FD9"/>
    <w:rsid w:val="00CF4385"/>
    <w:rsid w:val="00CF59D1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E84"/>
    <w:rsid w:val="00E3190E"/>
    <w:rsid w:val="00E32AB4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2541"/>
    <w:rsid w:val="00F0018B"/>
    <w:rsid w:val="00F03B74"/>
    <w:rsid w:val="00F0677F"/>
    <w:rsid w:val="00F06B38"/>
    <w:rsid w:val="00F07068"/>
    <w:rsid w:val="00F17172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a.gov.in/Ministry/pdf/public_notice_19june2015.pdf" TargetMode="External"/><Relationship Id="rId13" Type="http://schemas.openxmlformats.org/officeDocument/2006/relationships/hyperlink" Target="https://www.icsi.edu/Docs/Website/National%20Seminar%20cspgcl%20201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bi.gov.in/cms/sebi_data/attachdocs/1437394655681.pdf" TargetMode="External"/><Relationship Id="rId12" Type="http://schemas.openxmlformats.org/officeDocument/2006/relationships/hyperlink" Target="https://www.icsi.in/student/Members/DelegateRegistration/tabid/137/ctl/ViewEventDetails/mid/454/EventId/24/Default.aspx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Member/CSUpdat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ef.nic.in/sites/default/files/Public%20Notice%20on%20Draft%20Waste%20Management%20Rules_0.pdf" TargetMode="External"/><Relationship Id="rId11" Type="http://schemas.openxmlformats.org/officeDocument/2006/relationships/hyperlink" Target="http://www.icsi.edu/16pcs/Home.aspx" TargetMode="External"/><Relationship Id="rId5" Type="http://schemas.openxmlformats.org/officeDocument/2006/relationships/hyperlink" Target="https://www.icsi.edu/docs/Website/PIB-46th-ILC.pdf" TargetMode="External"/><Relationship Id="rId15" Type="http://schemas.openxmlformats.org/officeDocument/2006/relationships/hyperlink" Target="https://www.icsi.edu/Portals/72/Year%202015/National%20Company%20Law%20Tribunal%2007072015_final%2007.07.2015.pdf" TargetMode="External"/><Relationship Id="rId10" Type="http://schemas.openxmlformats.org/officeDocument/2006/relationships/hyperlink" Target="https://www.youtube.com/watch?v=aCdlxnjm0B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eedapp.mca.gov.in/" TargetMode="External"/><Relationship Id="rId14" Type="http://schemas.openxmlformats.org/officeDocument/2006/relationships/hyperlink" Target="https://www.icsi.in/student/Members/DelegateRegistration/tabid/137/ctl/ViewEventDetails/mid/454/EventId/25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10</cp:revision>
  <dcterms:created xsi:type="dcterms:W3CDTF">2015-07-21T04:40:00Z</dcterms:created>
  <dcterms:modified xsi:type="dcterms:W3CDTF">2015-07-21T05:32:00Z</dcterms:modified>
</cp:coreProperties>
</file>