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bookmarkStart w:id="0" w:name="_GoBack"/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9953A7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14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0586F" w:rsidRPr="00491808" w:rsidRDefault="00066FAF" w:rsidP="009953A7">
      <w:pPr>
        <w:spacing w:before="480" w:after="120"/>
        <w:jc w:val="center"/>
        <w:rPr>
          <w:rFonts w:ascii="Bookman Old Style" w:hAnsi="Bookman Old Style"/>
          <w:bCs/>
          <w:i/>
          <w:iCs/>
          <w:sz w:val="24"/>
          <w:szCs w:val="24"/>
        </w:rPr>
      </w:pPr>
      <w:r w:rsidRPr="00491808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491808">
        <w:rPr>
          <w:rFonts w:ascii="Times New Roman" w:hAnsi="Times New Roman" w:cs="Times New Roman"/>
          <w:bCs/>
          <w:i/>
          <w:sz w:val="24"/>
          <w:szCs w:val="24"/>
        </w:rPr>
        <w:t>‎</w:t>
      </w:r>
      <w:r w:rsidR="009953A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You need Power, only when you want to do something harmful otherwise </w:t>
      </w:r>
      <w:r w:rsidR="009953A7" w:rsidRPr="009953A7">
        <w:rPr>
          <w:rFonts w:ascii="Bookman Old Style" w:hAnsi="Bookman Old Style"/>
          <w:b/>
          <w:bCs/>
          <w:i/>
          <w:iCs/>
          <w:sz w:val="24"/>
          <w:szCs w:val="24"/>
        </w:rPr>
        <w:t>Love is enough to get everything done</w:t>
      </w:r>
      <w:r w:rsidR="0070586F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491808" w:rsidRPr="00491808" w:rsidRDefault="00491808" w:rsidP="00FB63A4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9953A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Charles Chaplin </w:t>
      </w:r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0916C6" w:rsidRDefault="000916C6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0916C6">
        <w:rPr>
          <w:b w:val="0"/>
          <w:bCs w:val="0"/>
          <w:color w:val="333333"/>
        </w:rPr>
        <w:t xml:space="preserve">Insurance Regulatory </w:t>
      </w:r>
      <w:proofErr w:type="gramStart"/>
      <w:r w:rsidRPr="000916C6">
        <w:rPr>
          <w:b w:val="0"/>
          <w:bCs w:val="0"/>
          <w:color w:val="333333"/>
        </w:rPr>
        <w:t>And</w:t>
      </w:r>
      <w:proofErr w:type="gramEnd"/>
      <w:r w:rsidRPr="000916C6">
        <w:rPr>
          <w:b w:val="0"/>
          <w:bCs w:val="0"/>
          <w:color w:val="333333"/>
        </w:rPr>
        <w:t xml:space="preserve"> Development Authority Of India (Payment Of Commission Or </w:t>
      </w:r>
      <w:r w:rsidR="001B47F1" w:rsidRPr="000916C6">
        <w:rPr>
          <w:b w:val="0"/>
          <w:bCs w:val="0"/>
          <w:color w:val="333333"/>
        </w:rPr>
        <w:t>Remuneration</w:t>
      </w:r>
      <w:r w:rsidRPr="000916C6">
        <w:rPr>
          <w:b w:val="0"/>
          <w:bCs w:val="0"/>
          <w:color w:val="333333"/>
        </w:rPr>
        <w:t xml:space="preserve"> Or Reward To Insurance Agents And Insurance Intermediaries) Regulations, 2016</w:t>
      </w:r>
      <w:r>
        <w:rPr>
          <w:b w:val="0"/>
          <w:bCs w:val="0"/>
          <w:color w:val="333333"/>
        </w:rPr>
        <w:t xml:space="preserve">. For details </w:t>
      </w:r>
      <w:hyperlink r:id="rId7" w:history="1">
        <w:r w:rsidRPr="001B47F1">
          <w:rPr>
            <w:rStyle w:val="Hyperlink"/>
            <w:b w:val="0"/>
            <w:bCs w:val="0"/>
          </w:rPr>
          <w:t>Click here</w:t>
        </w:r>
      </w:hyperlink>
    </w:p>
    <w:p w:rsidR="00461582" w:rsidRPr="008140BC" w:rsidRDefault="00A31D09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A31D09">
        <w:rPr>
          <w:b w:val="0"/>
          <w:bCs w:val="0"/>
          <w:color w:val="333333"/>
        </w:rPr>
        <w:t>Self-regulation code for industry to be introduced for redressal of consumer grievances </w:t>
      </w:r>
      <w:r>
        <w:rPr>
          <w:b w:val="0"/>
          <w:bCs w:val="0"/>
          <w:color w:val="333333"/>
        </w:rPr>
        <w:br/>
      </w:r>
      <w:r w:rsidRPr="00A31D09">
        <w:rPr>
          <w:b w:val="0"/>
          <w:bCs w:val="0"/>
          <w:color w:val="333333"/>
        </w:rPr>
        <w:t xml:space="preserve">Embarking CSR fund for consumer welfare activities </w:t>
      </w:r>
      <w:proofErr w:type="gramStart"/>
      <w:r w:rsidRPr="00A31D09">
        <w:rPr>
          <w:b w:val="0"/>
          <w:bCs w:val="0"/>
          <w:color w:val="333333"/>
        </w:rPr>
        <w:t>proposed </w:t>
      </w:r>
      <w:r w:rsidR="00461582">
        <w:rPr>
          <w:b w:val="0"/>
          <w:bCs w:val="0"/>
          <w:color w:val="333333"/>
        </w:rPr>
        <w:t>.</w:t>
      </w:r>
      <w:proofErr w:type="gramEnd"/>
      <w:r w:rsidR="00461582">
        <w:rPr>
          <w:b w:val="0"/>
          <w:bCs w:val="0"/>
          <w:color w:val="333333"/>
        </w:rPr>
        <w:t xml:space="preserve"> For details </w:t>
      </w:r>
      <w:hyperlink r:id="rId8" w:history="1">
        <w:r w:rsidR="00461582" w:rsidRPr="00461582">
          <w:rPr>
            <w:rStyle w:val="Hyperlink"/>
            <w:b w:val="0"/>
            <w:bCs w:val="0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Exposure Draft on PFRDA</w:t>
      </w:r>
      <w:r w:rsidR="00577E5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(Retirement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Adviser )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Regulations 2016. For detail </w:t>
      </w:r>
      <w:hyperlink r:id="rId9" w:history="1">
        <w:r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Revised Guidelines in respect of Contribution Collection and Service Charges for opening NPS Accounts for NRIs.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10" w:history="1">
        <w:r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9C77E4" w:rsidRDefault="009C77E4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RFP for Setting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Up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of National Pension System Information Desk. For detail </w:t>
      </w:r>
      <w:hyperlink r:id="rId11" w:history="1">
        <w:r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</w:p>
    <w:p w:rsidR="00293BBB" w:rsidRDefault="00293BBB" w:rsidP="009C77E4">
      <w:pPr>
        <w:pStyle w:val="Heading3"/>
        <w:numPr>
          <w:ilvl w:val="0"/>
          <w:numId w:val="30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Securities And Exchange Board Of India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(Delisting Of Equity Shares</w:t>
      </w:r>
      <w:proofErr w:type="gramStart"/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)(</w:t>
      </w:r>
      <w:proofErr w:type="gramEnd"/>
      <w:r w:rsidRPr="00293BBB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Amendment) Regulations, 2016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details </w:t>
      </w:r>
      <w:hyperlink r:id="rId12" w:history="1">
        <w:r w:rsidRPr="00293BBB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r w:rsidR="009953A7" w:rsidRPr="00577E52">
        <w:rPr>
          <w:rFonts w:ascii="Bookman Old Style" w:hAnsi="Bookman Old Style"/>
          <w:bCs/>
          <w:i/>
          <w:sz w:val="24"/>
          <w:szCs w:val="24"/>
        </w:rPr>
        <w:t>Caveat</w:t>
      </w:r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5D51BC" w:rsidRPr="00577E52" w:rsidRDefault="009953A7" w:rsidP="009953A7">
      <w:pPr>
        <w:spacing w:before="360" w:after="120"/>
        <w:jc w:val="center"/>
        <w:rPr>
          <w:rFonts w:ascii="Bookman Old Style" w:hAnsi="Bookman Old Style"/>
          <w:bCs/>
          <w:sz w:val="24"/>
          <w:szCs w:val="24"/>
        </w:rPr>
      </w:pPr>
      <w:r w:rsidRPr="00577E52">
        <w:rPr>
          <w:rFonts w:ascii="Bookman Old Style" w:hAnsi="Bookman Old Style"/>
          <w:bCs/>
          <w:sz w:val="24"/>
          <w:szCs w:val="24"/>
        </w:rPr>
        <w:t xml:space="preserve">A caution registered with the public court to indicate to the officials that they are not to act in the matter mentioned in the caveat without first giving notice to the </w:t>
      </w:r>
      <w:proofErr w:type="spellStart"/>
      <w:r w:rsidRPr="00577E52">
        <w:rPr>
          <w:rFonts w:ascii="Bookman Old Style" w:hAnsi="Bookman Old Style"/>
          <w:bCs/>
          <w:sz w:val="24"/>
          <w:szCs w:val="24"/>
        </w:rPr>
        <w:t>caveator</w:t>
      </w:r>
      <w:proofErr w:type="spellEnd"/>
      <w:r w:rsidRPr="00577E52">
        <w:rPr>
          <w:rFonts w:ascii="Bookman Old Style" w:hAnsi="Bookman Old Style"/>
          <w:bCs/>
          <w:sz w:val="24"/>
          <w:szCs w:val="24"/>
        </w:rPr>
        <w:t>.</w:t>
      </w:r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Extension of the applicability of Business Responsibility Reports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3" w:history="1"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ICSI-CCGRT announces “ICSI – Corporate Governance Research Initiative” for Members/ Students/ Researchers/ Academicians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4" w:history="1"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604777" w:rsidRDefault="00604777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604777">
        <w:rPr>
          <w:rFonts w:ascii="Bookman Old Style" w:hAnsi="Bookman Old Style"/>
          <w:sz w:val="24"/>
          <w:szCs w:val="24"/>
        </w:rPr>
        <w:t>ICSI-CCGRT announces Opportunity to Contribute in Research on The Insolvency &amp; Bankruptcy bill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5" w:history="1">
        <w:proofErr w:type="gramStart"/>
        <w:r w:rsidRPr="00604777">
          <w:rPr>
            <w:rStyle w:val="Hyperlink"/>
            <w:rFonts w:ascii="Bookman Old Style" w:hAnsi="Bookman Old Style"/>
            <w:sz w:val="24"/>
            <w:szCs w:val="24"/>
          </w:rPr>
          <w:t>Click</w:t>
        </w:r>
        <w:proofErr w:type="gramEnd"/>
        <w:r w:rsidRPr="00604777">
          <w:rPr>
            <w:rStyle w:val="Hyperlink"/>
            <w:rFonts w:ascii="Bookman Old Style" w:hAnsi="Bookman Old Style"/>
            <w:sz w:val="24"/>
            <w:szCs w:val="24"/>
          </w:rPr>
          <w:t xml:space="preserve"> here</w:t>
        </w:r>
      </w:hyperlink>
      <w:r>
        <w:rPr>
          <w:rFonts w:ascii="Bookman Old Style" w:hAnsi="Bookman Old Style"/>
          <w:sz w:val="24"/>
          <w:szCs w:val="24"/>
        </w:rPr>
        <w:t>.</w:t>
      </w:r>
    </w:p>
    <w:p w:rsidR="00604777" w:rsidRDefault="001F4149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1F4149">
        <w:rPr>
          <w:rFonts w:ascii="Bookman Old Style" w:hAnsi="Bookman Old Style"/>
          <w:sz w:val="24"/>
          <w:szCs w:val="24"/>
        </w:rPr>
        <w:t>Peer Reviewers Training Programme at CCGRT-</w:t>
      </w:r>
      <w:proofErr w:type="spellStart"/>
      <w:r w:rsidRPr="001F4149">
        <w:rPr>
          <w:rFonts w:ascii="Bookman Old Style" w:hAnsi="Bookman Old Style"/>
          <w:sz w:val="24"/>
          <w:szCs w:val="24"/>
        </w:rPr>
        <w:t>Navi</w:t>
      </w:r>
      <w:proofErr w:type="spellEnd"/>
      <w:r w:rsidRPr="001F4149">
        <w:rPr>
          <w:rFonts w:ascii="Bookman Old Style" w:hAnsi="Bookman Old Style"/>
          <w:sz w:val="24"/>
          <w:szCs w:val="24"/>
        </w:rPr>
        <w:t xml:space="preserve"> Mumbai on 15.01.2016 (Friday</w:t>
      </w:r>
      <w:r>
        <w:rPr>
          <w:rFonts w:ascii="Bookman Old Style" w:hAnsi="Bookman Old Style"/>
          <w:sz w:val="24"/>
          <w:szCs w:val="24"/>
        </w:rPr>
        <w:t xml:space="preserve">). For details, </w:t>
      </w:r>
      <w:hyperlink r:id="rId16" w:history="1">
        <w:r w:rsidRPr="001F4149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 xml:space="preserve">Message from Hon’ble Chief </w:t>
      </w:r>
      <w:proofErr w:type="spellStart"/>
      <w:r w:rsidRPr="0070586F">
        <w:rPr>
          <w:rFonts w:ascii="Bookman Old Style" w:hAnsi="Bookman Old Style"/>
          <w:sz w:val="24"/>
          <w:szCs w:val="24"/>
        </w:rPr>
        <w:t>Minster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of Andhra Pradesh - Shri </w:t>
      </w:r>
      <w:proofErr w:type="spellStart"/>
      <w:r w:rsidRPr="0070586F">
        <w:rPr>
          <w:rFonts w:ascii="Bookman Old Style" w:hAnsi="Bookman Old Style"/>
          <w:sz w:val="24"/>
          <w:szCs w:val="24"/>
        </w:rPr>
        <w:t>N.Chandrababu</w:t>
      </w:r>
      <w:proofErr w:type="spellEnd"/>
      <w:r w:rsidRPr="0070586F">
        <w:rPr>
          <w:rFonts w:ascii="Bookman Old Style" w:hAnsi="Bookman Old Style"/>
          <w:sz w:val="24"/>
          <w:szCs w:val="24"/>
        </w:rPr>
        <w:t xml:space="preserve"> Naidu - on Eve of Opening of ICSI Amaravati Chapter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7" w:history="1">
        <w:proofErr w:type="gramStart"/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</w:t>
        </w:r>
        <w:proofErr w:type="gramEnd"/>
        <w:r w:rsidRPr="0070586F">
          <w:rPr>
            <w:rStyle w:val="Hyperlink"/>
            <w:rFonts w:ascii="Bookman Old Style" w:hAnsi="Bookman Old Style"/>
            <w:sz w:val="24"/>
            <w:szCs w:val="24"/>
          </w:rPr>
          <w:t xml:space="preserve"> here</w:t>
        </w:r>
      </w:hyperlink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</w:p>
    <w:p w:rsidR="0070586F" w:rsidRDefault="0070586F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70586F">
        <w:rPr>
          <w:rFonts w:ascii="Bookman Old Style" w:hAnsi="Bookman Old Style"/>
          <w:sz w:val="24"/>
          <w:szCs w:val="24"/>
        </w:rPr>
        <w:t>ICSI Orientation Programme for the Members of the Rajasthan Legislative Assembly held on 11-1-2016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8" w:history="1">
        <w:r w:rsidRPr="0070586F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F37D8A" w:rsidRPr="007E2678" w:rsidRDefault="005D51BC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Joint program of ICSI with IIM-Ranchi on 13th &amp; 14th February 2016 at CCGRT</w:t>
      </w:r>
      <w:r w:rsidR="00F37D8A">
        <w:rPr>
          <w:rFonts w:ascii="Bookman Old Style" w:hAnsi="Bookman Old Style"/>
          <w:sz w:val="24"/>
          <w:szCs w:val="24"/>
        </w:rPr>
        <w:t xml:space="preserve">. For details, </w:t>
      </w:r>
      <w:hyperlink r:id="rId19" w:history="1">
        <w:r w:rsidR="00F37D8A" w:rsidRPr="00F37D8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7E2678" w:rsidRPr="007E2678" w:rsidRDefault="007E2678" w:rsidP="007E26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ICSI-CCGRT is organising its PCS Induction Program on Saturday, January 30 &amp; Sunday, January 31, 2016</w:t>
      </w:r>
      <w:r>
        <w:rPr>
          <w:rFonts w:ascii="Bookman Old Style" w:hAnsi="Bookman Old Style"/>
          <w:sz w:val="24"/>
          <w:szCs w:val="24"/>
        </w:rPr>
        <w:t>. For details,</w:t>
      </w:r>
      <w:r w:rsidRPr="00376B19">
        <w:rPr>
          <w:rFonts w:ascii="Bookman Old Style" w:hAnsi="Bookman Old Style"/>
          <w:sz w:val="24"/>
          <w:szCs w:val="24"/>
        </w:rPr>
        <w:t xml:space="preserve"> </w:t>
      </w:r>
      <w:hyperlink r:id="rId20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352975" w:rsidRPr="001F7826" w:rsidRDefault="005D51BC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5D51BC">
        <w:rPr>
          <w:rFonts w:ascii="Bookman Old Style" w:hAnsi="Bookman Old Style"/>
          <w:sz w:val="24"/>
          <w:szCs w:val="24"/>
        </w:rPr>
        <w:t>Glimpses of 15th ICSI National Awards for excellence in Corporate Governance</w:t>
      </w:r>
      <w:r>
        <w:rPr>
          <w:rFonts w:ascii="Bookman Old Style" w:hAnsi="Bookman Old Style"/>
          <w:sz w:val="24"/>
          <w:szCs w:val="24"/>
        </w:rPr>
        <w:t>.</w:t>
      </w:r>
      <w:r w:rsidR="00352975">
        <w:rPr>
          <w:rFonts w:ascii="Bookman Old Style" w:hAnsi="Bookman Old Style"/>
          <w:sz w:val="24"/>
          <w:szCs w:val="24"/>
        </w:rPr>
        <w:t xml:space="preserve"> For details, </w:t>
      </w:r>
      <w:hyperlink r:id="rId21" w:history="1">
        <w:r w:rsidR="00352975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E8399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11:20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lastRenderedPageBreak/>
              <w:t>SENSEX</w:t>
            </w:r>
          </w:p>
          <w:p w:rsidR="00E52995" w:rsidRPr="0063472E" w:rsidRDefault="00E83999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24,748(-105.91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E83999">
              <w:rPr>
                <w:rFonts w:ascii="SerifaBT-Roman" w:hAnsi="SerifaBT-Roman"/>
                <w:bCs/>
                <w:sz w:val="28"/>
                <w:szCs w:val="28"/>
              </w:rPr>
              <w:t>25.75</w:t>
            </w:r>
            <w:r w:rsidR="0070586F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E83999">
              <w:rPr>
                <w:rFonts w:ascii="SerifaBT-Roman" w:hAnsi="SerifaBT-Roman"/>
                <w:bCs/>
                <w:sz w:val="28"/>
                <w:szCs w:val="28"/>
              </w:rPr>
              <w:t>-36.65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E83999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25,911 (176.00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E8399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67.11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0.26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490733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22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23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  <w:bookmarkEnd w:id="0"/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17"/>
  </w:num>
  <w:num w:numId="9">
    <w:abstractNumId w:val="1"/>
  </w:num>
  <w:num w:numId="10">
    <w:abstractNumId w:val="26"/>
  </w:num>
  <w:num w:numId="11">
    <w:abstractNumId w:val="15"/>
  </w:num>
  <w:num w:numId="12">
    <w:abstractNumId w:val="18"/>
  </w:num>
  <w:num w:numId="13">
    <w:abstractNumId w:val="7"/>
  </w:num>
  <w:num w:numId="14">
    <w:abstractNumId w:val="19"/>
  </w:num>
  <w:num w:numId="1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24"/>
  </w:num>
  <w:num w:numId="22">
    <w:abstractNumId w:val="5"/>
  </w:num>
  <w:num w:numId="23">
    <w:abstractNumId w:val="16"/>
  </w:num>
  <w:num w:numId="24">
    <w:abstractNumId w:val="25"/>
  </w:num>
  <w:num w:numId="25">
    <w:abstractNumId w:val="27"/>
  </w:num>
  <w:num w:numId="26">
    <w:abstractNumId w:val="9"/>
  </w:num>
  <w:num w:numId="27">
    <w:abstractNumId w:val="8"/>
  </w:num>
  <w:num w:numId="28">
    <w:abstractNumId w:val="11"/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E4E"/>
    <w:rsid w:val="0025600F"/>
    <w:rsid w:val="00256B02"/>
    <w:rsid w:val="0025702A"/>
    <w:rsid w:val="0026395A"/>
    <w:rsid w:val="002665A4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6D8F"/>
    <w:rsid w:val="00477497"/>
    <w:rsid w:val="004819E0"/>
    <w:rsid w:val="004830FD"/>
    <w:rsid w:val="00484A40"/>
    <w:rsid w:val="00490733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D757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3DC9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4777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53A7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b.nic.in/newsite/PrintRelease.aspx?relid=134402" TargetMode="External"/><Relationship Id="rId13" Type="http://schemas.openxmlformats.org/officeDocument/2006/relationships/hyperlink" Target="https://www.icsi.edu/Docs/Website/Extension%20of%20the%20applicability%20of%20Business%20Responsibility%20Reports%20.pdf" TargetMode="External"/><Relationship Id="rId18" Type="http://schemas.openxmlformats.org/officeDocument/2006/relationships/hyperlink" Target="https://www.icsi.edu/Docs/Website/RKL_8917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15_ICSI_NATIONALAWARDS_EXCELLENCE%20IN%20CORPORATE%20GOVERNANCE.pdf" TargetMode="External"/><Relationship Id="rId7" Type="http://schemas.openxmlformats.org/officeDocument/2006/relationships/hyperlink" Target="https://www.irda.gov.in/ADMINCMS/cms/frmGeneral_Layout.aspx?page=PageNo2728" TargetMode="External"/><Relationship Id="rId12" Type="http://schemas.openxmlformats.org/officeDocument/2006/relationships/hyperlink" Target="http://www.sebi.gov.in/cms/sebi_data/attachdocs/1452662596012.pdf" TargetMode="External"/><Relationship Id="rId17" Type="http://schemas.openxmlformats.org/officeDocument/2006/relationships/hyperlink" Target="https://www.icsi.edu/Docs/Website/doc0032122016011118270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Announcement-CCGRT.pdf" TargetMode="External"/><Relationship Id="rId20" Type="http://schemas.openxmlformats.org/officeDocument/2006/relationships/hyperlink" Target="https://www.icsi.edu/Docs/Website/Announcement_PCS_Jan%2030-31,%20201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frda.org.in/WriteReadData/Links/RFP%20on%20NPS%20Information%20Desk5ac3ce4f-1762-4440-b845-bb788f5a8ddf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upload_CCGRT_13012016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://www.pfrda.org.in/MyAuth/Admin/showimg.cshtml?ID=822" TargetMode="External"/><Relationship Id="rId19" Type="http://schemas.openxmlformats.org/officeDocument/2006/relationships/hyperlink" Target="https://www.icsi.edu/Docs/Website/ICSI%20-%20IIM%20Ranch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da.org.in/MyAuth/Admin/showimg.cshtml?ID=821" TargetMode="External"/><Relationship Id="rId14" Type="http://schemas.openxmlformats.org/officeDocument/2006/relationships/hyperlink" Target="https://www.icsi.edu/Docs/Website/Announcement_Corp%20Govern_CCGRT_1301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0AB1-9BFC-486B-A0FD-0EF80593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2016-01-14T08:45:00Z</dcterms:created>
  <dcterms:modified xsi:type="dcterms:W3CDTF">2016-01-14T08:45:00Z</dcterms:modified>
</cp:coreProperties>
</file>