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605443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16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63BA7" w:rsidRPr="00463BA7" w:rsidRDefault="00463BA7" w:rsidP="00D13A2D">
      <w:pPr>
        <w:spacing w:before="480" w:after="120"/>
        <w:rPr>
          <w:rFonts w:ascii="Bookman Old Style" w:hAnsi="Bookman Old Style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Pr="00463BA7">
        <w:rPr>
          <w:rFonts w:ascii="Bookman Old Style" w:hAnsi="Bookman Old Style"/>
        </w:rPr>
        <w:t>Good corporate governance is about 'intellectual honesty' and not just sticking to rules and regulations, capital flowed towards companies that practice</w:t>
      </w:r>
      <w:r>
        <w:rPr>
          <w:rFonts w:ascii="Bookman Old Style" w:hAnsi="Bookman Old Style"/>
        </w:rPr>
        <w:t>d this type of good governance.”</w:t>
      </w:r>
    </w:p>
    <w:p w:rsidR="00D13A2D" w:rsidRPr="00463BA7" w:rsidRDefault="00463BA7" w:rsidP="00463BA7">
      <w:pPr>
        <w:spacing w:before="480" w:after="120"/>
        <w:jc w:val="right"/>
        <w:rPr>
          <w:rFonts w:ascii="Bookman Old Style" w:hAnsi="Bookman Old Style"/>
          <w:b/>
          <w:bCs/>
          <w:i/>
          <w:sz w:val="24"/>
          <w:szCs w:val="24"/>
        </w:rPr>
      </w:pPr>
      <w:r w:rsidRPr="00463BA7">
        <w:rPr>
          <w:b/>
        </w:rPr>
        <w:t xml:space="preserve"> - Mervyn King (Chairman: King Report)</w:t>
      </w:r>
    </w:p>
    <w:p w:rsidR="009B2C69" w:rsidRPr="00463BA7" w:rsidRDefault="00D13A2D" w:rsidP="00463BA7">
      <w:pPr>
        <w:spacing w:before="480" w:after="120"/>
        <w:rPr>
          <w:rFonts w:ascii="Bookman Old Style" w:hAnsi="Bookman Old Style"/>
          <w:b/>
          <w:bCs/>
          <w:sz w:val="24"/>
          <w:szCs w:val="24"/>
        </w:rPr>
      </w:pPr>
      <w:r w:rsidRPr="00D13A2D">
        <w:rPr>
          <w:rFonts w:ascii="Bookman Old Style" w:hAnsi="Bookman Old Style"/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680822" w:rsidRPr="00680822" w:rsidRDefault="00463BA7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63BA7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Coal Mines (Special Provisions) Bill 2015 Passed; Laid Down Robust &amp; Transparent System for Coal Mines Auctioning</w:t>
      </w:r>
      <w:r w:rsidR="00782F8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 w:rsidR="00680822">
        <w:rPr>
          <w:sz w:val="23"/>
          <w:szCs w:val="23"/>
        </w:rPr>
        <w:t xml:space="preserve"> </w:t>
      </w:r>
      <w:r w:rsidR="00680822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6" w:history="1">
        <w:r w:rsidR="00680822"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80822" w:rsidRPr="00744CAE" w:rsidRDefault="00463BA7" w:rsidP="00744CAE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63BA7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Rules regarding quoting of PAN for specified transactions amended</w:t>
      </w:r>
      <w:r w:rsid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</w:t>
      </w:r>
      <w:r w:rsidR="00680822" w:rsidRPr="00744C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7" w:history="1">
        <w:r w:rsidR="00680822" w:rsidRPr="00744CAE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C86037" w:rsidRPr="00463BA7" w:rsidRDefault="00463BA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63BA7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CBDT takes various significant decisions in last three months for providing better taxpayer services, improving ease of doing business and reducing the burden of compliance on the tax payer.</w:t>
      </w:r>
      <w:r w:rsidR="00FE563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</w:t>
      </w:r>
      <w:r w:rsidR="00C86037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8" w:history="1">
        <w:r w:rsidR="00C86037"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463BA7" w:rsidRPr="00C3617D" w:rsidRDefault="00463BA7" w:rsidP="00A93767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463BA7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>CBDT takes Initiatives for reducing Tax Litigation as a part of its initiatives to reduce grievances of the taxpayers</w:t>
      </w:r>
      <w:r w:rsidR="000401C9">
        <w:rPr>
          <w:rFonts w:ascii="Bookman Old Style" w:eastAsiaTheme="minorHAnsi" w:hAnsi="Bookman Old Style" w:cstheme="minorBidi"/>
          <w:b w:val="0"/>
          <w:sz w:val="24"/>
          <w:szCs w:val="24"/>
          <w:lang w:val="en-US" w:eastAsia="en-US"/>
        </w:rPr>
        <w:t xml:space="preserve">. For detail </w:t>
      </w:r>
      <w:hyperlink r:id="rId9" w:history="1">
        <w:r w:rsidR="000401C9" w:rsidRPr="00C86037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  <w:bookmarkStart w:id="0" w:name="_GoBack"/>
      <w:bookmarkEnd w:id="0"/>
    </w:p>
    <w:p w:rsidR="00C86037" w:rsidRPr="00C86037" w:rsidRDefault="00C86037" w:rsidP="00C8603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991239" w:rsidRDefault="00991239" w:rsidP="00C07256">
      <w:pPr>
        <w:adjustRightInd w:val="0"/>
        <w:jc w:val="center"/>
        <w:rPr>
          <w:rFonts w:ascii="Bookman Old Style" w:eastAsia="Calibri" w:hAnsi="Bookman Old Style" w:cs="Times New Roman"/>
          <w:b/>
          <w:i/>
          <w:iCs/>
          <w:sz w:val="24"/>
          <w:szCs w:val="24"/>
        </w:rPr>
      </w:pPr>
      <w:r w:rsidRPr="002F1C6F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“</w:t>
      </w:r>
      <w:proofErr w:type="spellStart"/>
      <w:r w:rsidR="000401C9" w:rsidRPr="000401C9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Pari</w:t>
      </w:r>
      <w:proofErr w:type="spellEnd"/>
      <w:r w:rsidR="000401C9" w:rsidRPr="000401C9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401C9" w:rsidRPr="000401C9"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</w:rPr>
        <w:t>materia</w:t>
      </w:r>
      <w:proofErr w:type="spellEnd"/>
      <w:r>
        <w:rPr>
          <w:rFonts w:ascii="Bookman Old Style" w:eastAsia="Calibri" w:hAnsi="Bookman Old Style" w:cs="Times New Roman"/>
          <w:b/>
          <w:i/>
          <w:iCs/>
          <w:sz w:val="24"/>
          <w:szCs w:val="24"/>
        </w:rPr>
        <w:t>”</w:t>
      </w:r>
    </w:p>
    <w:p w:rsidR="00FE563E" w:rsidRPr="00FE563E" w:rsidRDefault="000401C9" w:rsidP="00C07256">
      <w:pPr>
        <w:adjustRightInd w:val="0"/>
        <w:jc w:val="center"/>
        <w:rPr>
          <w:rFonts w:ascii="Bookman Old Style" w:eastAsia="Calibri" w:hAnsi="Bookman Old Style" w:cs="Times New Roman"/>
          <w:iCs/>
          <w:sz w:val="24"/>
          <w:szCs w:val="24"/>
        </w:rPr>
      </w:pPr>
      <w:proofErr w:type="gramStart"/>
      <w:r w:rsidRPr="000401C9">
        <w:rPr>
          <w:rFonts w:ascii="Arial" w:hAnsi="Arial" w:cs="Arial"/>
          <w:sz w:val="20"/>
          <w:szCs w:val="20"/>
        </w:rPr>
        <w:t>Relating to same person or thing.</w:t>
      </w:r>
      <w:proofErr w:type="gramEnd"/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927D15" w:rsidRDefault="00DD3748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 xml:space="preserve">43rd National Convention of Company Secretaries to be held at </w:t>
      </w:r>
      <w:r w:rsidR="0013556A">
        <w:rPr>
          <w:rFonts w:ascii="Bookman Old Style" w:hAnsi="Bookman Old Style"/>
          <w:sz w:val="24"/>
          <w:szCs w:val="24"/>
        </w:rPr>
        <w:t>Delhi on December 17-19, 2015.</w:t>
      </w:r>
      <w:r w:rsidR="00927D15">
        <w:rPr>
          <w:rFonts w:ascii="Bookman Old Style" w:hAnsi="Bookman Old Style"/>
          <w:sz w:val="24"/>
          <w:szCs w:val="24"/>
        </w:rPr>
        <w:t xml:space="preserve"> </w:t>
      </w:r>
      <w:r w:rsidR="005A2120" w:rsidRPr="00C86037">
        <w:rPr>
          <w:rFonts w:ascii="Bookman Old Style" w:hAnsi="Bookman Old Style"/>
          <w:sz w:val="24"/>
          <w:szCs w:val="24"/>
        </w:rPr>
        <w:t>For details</w:t>
      </w:r>
      <w:r w:rsidRPr="00C86037">
        <w:rPr>
          <w:rFonts w:ascii="Bookman Old Style" w:hAnsi="Bookman Old Style"/>
          <w:sz w:val="24"/>
          <w:szCs w:val="24"/>
        </w:rPr>
        <w:t xml:space="preserve"> </w:t>
      </w:r>
      <w:hyperlink r:id="rId10" w:history="1">
        <w:r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  <w:r w:rsidR="006D72AD" w:rsidRPr="00C86037">
        <w:rPr>
          <w:sz w:val="24"/>
          <w:szCs w:val="24"/>
        </w:rPr>
        <w:t>.</w:t>
      </w:r>
      <w:r w:rsidRPr="00C86037">
        <w:rPr>
          <w:rFonts w:ascii="Bookman Old Style" w:hAnsi="Bookman Old Style"/>
          <w:sz w:val="24"/>
          <w:szCs w:val="24"/>
        </w:rPr>
        <w:t> </w:t>
      </w:r>
      <w:r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927D15" w:rsidRPr="00927D15" w:rsidRDefault="007362B4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1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 xml:space="preserve">43rd National Convention-International Session, Capital Markets Regulation and </w:t>
        </w:r>
        <w:r w:rsidR="0013556A" w:rsidRPr="00927D15">
          <w:rPr>
            <w:rFonts w:ascii="Bookman Old Style" w:hAnsi="Bookman Old Style"/>
            <w:sz w:val="24"/>
            <w:szCs w:val="24"/>
          </w:rPr>
          <w:t>Development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2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Default="007362B4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3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Convention-1st Technical Session, Digital India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For details </w:t>
      </w:r>
      <w:hyperlink r:id="rId14" w:history="1">
        <w:r w:rsidR="00927D15" w:rsidRPr="00927D15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927D15" w:rsidRPr="00927D15" w:rsidRDefault="007362B4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5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43rd National Convention-3rd Technical Session, Skill India and Entrepreneurship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6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927D15" w:rsidRPr="00927D15" w:rsidRDefault="007362B4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hyperlink r:id="rId17" w:tgtFrame="blank" w:history="1">
        <w:r w:rsidR="00927D15" w:rsidRPr="00927D15">
          <w:rPr>
            <w:rFonts w:ascii="Bookman Old Style" w:hAnsi="Bookman Old Style"/>
            <w:sz w:val="24"/>
            <w:szCs w:val="24"/>
          </w:rPr>
          <w:t>Speakers of 4th Technical Session at ICSI 43rd National Convention</w:t>
        </w:r>
      </w:hyperlink>
      <w:r w:rsidR="00927D15">
        <w:rPr>
          <w:rFonts w:ascii="Bookman Old Style" w:hAnsi="Bookman Old Style"/>
          <w:sz w:val="24"/>
          <w:szCs w:val="24"/>
        </w:rPr>
        <w:t xml:space="preserve">. </w:t>
      </w:r>
      <w:r w:rsidR="00927D15" w:rsidRPr="00C86037">
        <w:rPr>
          <w:rFonts w:ascii="Bookman Old Style" w:hAnsi="Bookman Old Style"/>
          <w:sz w:val="24"/>
          <w:szCs w:val="24"/>
        </w:rPr>
        <w:t xml:space="preserve">For details </w:t>
      </w:r>
      <w:hyperlink r:id="rId18" w:history="1">
        <w:r w:rsidR="00927D15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 here</w:t>
        </w:r>
      </w:hyperlink>
    </w:p>
    <w:p w:rsidR="00DD3748" w:rsidRPr="00927D15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19" w:history="1">
        <w:proofErr w:type="gramStart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>Click</w:t>
        </w:r>
        <w:proofErr w:type="gramEnd"/>
        <w:r w:rsidR="00E9019D" w:rsidRPr="00C86037">
          <w:rPr>
            <w:rStyle w:val="Hyperlink"/>
            <w:rFonts w:ascii="Bookman Old Style" w:hAnsi="Bookman Old Style"/>
            <w:color w:val="FF0000"/>
            <w:sz w:val="24"/>
            <w:szCs w:val="24"/>
          </w:rPr>
          <w:t xml:space="preserve"> here</w:t>
        </w:r>
      </w:hyperlink>
      <w:r w:rsidRPr="00C86037">
        <w:rPr>
          <w:sz w:val="24"/>
          <w:szCs w:val="24"/>
        </w:rPr>
        <w:t>.</w:t>
      </w: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401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11:29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0401C9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25,497.17 (176.73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401C9">
              <w:rPr>
                <w:rFonts w:ascii="SerifaBT-Roman" w:hAnsi="SerifaBT-Roman"/>
                <w:bCs/>
                <w:sz w:val="28"/>
                <w:szCs w:val="28"/>
              </w:rPr>
              <w:t>7,752.15 (51.25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0401C9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25,300.00 (34</w:t>
            </w:r>
            <w:r w:rsidR="00FE563E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0401C9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66.87</w:t>
            </w:r>
            <w:r w:rsidR="00FE563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-0.06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7362B4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20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1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01C9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3BA7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0822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81F"/>
    <w:rsid w:val="007339BA"/>
    <w:rsid w:val="00733EF1"/>
    <w:rsid w:val="00735E41"/>
    <w:rsid w:val="007362B4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3C36"/>
    <w:rsid w:val="007C2539"/>
    <w:rsid w:val="007C27B4"/>
    <w:rsid w:val="007D01CC"/>
    <w:rsid w:val="007D0CF1"/>
    <w:rsid w:val="007D181D"/>
    <w:rsid w:val="007D3269"/>
    <w:rsid w:val="007D748F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993"/>
    <w:rsid w:val="00BB4C09"/>
    <w:rsid w:val="00BB5675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17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A1311"/>
    <w:rsid w:val="00CB70E5"/>
    <w:rsid w:val="00CB72A3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52659"/>
    <w:rsid w:val="00D5512F"/>
    <w:rsid w:val="00D5592F"/>
    <w:rsid w:val="00D61876"/>
    <w:rsid w:val="00D61AE5"/>
    <w:rsid w:val="00D62353"/>
    <w:rsid w:val="00D66461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7398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F027E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b.nic.in/newsite/erelease.aspx?relid=133303" TargetMode="External"/><Relationship Id="rId13" Type="http://schemas.openxmlformats.org/officeDocument/2006/relationships/hyperlink" Target="https://www.icsi.edu/docs/website/Bulk%20mail-1st%20Technical%20Session.pdf" TargetMode="External"/><Relationship Id="rId18" Type="http://schemas.openxmlformats.org/officeDocument/2006/relationships/hyperlink" Target="https://www.icsi.edu/docs/website/Bulk%20mail-4th%20Technical%20Session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supdate@icsi.edu" TargetMode="External"/><Relationship Id="rId7" Type="http://schemas.openxmlformats.org/officeDocument/2006/relationships/hyperlink" Target="http://pib.nic.in/newsite/erelease.aspx?relid=133304" TargetMode="External"/><Relationship Id="rId12" Type="http://schemas.openxmlformats.org/officeDocument/2006/relationships/hyperlink" Target="https://www.icsi.edu/docs/website/Bulk%20mail-International%20Session.pdf" TargetMode="External"/><Relationship Id="rId17" Type="http://schemas.openxmlformats.org/officeDocument/2006/relationships/hyperlink" Target="https://www.icsi.edu/docs/website/Bulk%20mail-4th%20Technical%20Sess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Bulk%20mail-3rd%20Technical%20Session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ib.nic.in/newsite/erelease.aspx?relid=133313" TargetMode="External"/><Relationship Id="rId11" Type="http://schemas.openxmlformats.org/officeDocument/2006/relationships/hyperlink" Target="https://www.icsi.edu/docs/website/Bulk%20mail-International%20Sess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site/Bulk%20mail-3rd%20Technical%20Session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csi.edu/43nc/Home.aspx" TargetMode="External"/><Relationship Id="rId19" Type="http://schemas.openxmlformats.org/officeDocument/2006/relationships/hyperlink" Target="http://www.icsi.edu/docs/website/Request_ChennaiFloo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b.nic.in/newsite/erelease.aspx?relid=133302" TargetMode="External"/><Relationship Id="rId14" Type="http://schemas.openxmlformats.org/officeDocument/2006/relationships/hyperlink" Target="https://www.icsi.edu/docs/website/Bulk%20mail-1st%20Technical%20Sessio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2015-12-16T06:38:00Z</dcterms:created>
  <dcterms:modified xsi:type="dcterms:W3CDTF">2015-12-16T06:38:00Z</dcterms:modified>
</cp:coreProperties>
</file>