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994F4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0"/>
          <w:szCs w:val="80"/>
          <w:lang w:val="en-US"/>
        </w:rPr>
      </w:pPr>
      <w:r w:rsidRPr="00994F4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 xml:space="preserve">CS UPDATE </w:t>
      </w:r>
      <w:r w:rsidR="00994F49" w:rsidRPr="00994F4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>AUGUST 3</w:t>
      </w:r>
      <w:r w:rsidRPr="00994F4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>, 201</w:t>
      </w:r>
      <w:r w:rsidRPr="00994F49">
        <w:rPr>
          <w:rFonts w:ascii="SerifaBT-Roman" w:hAnsi="SerifaBT-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>5</w:t>
      </w:r>
    </w:p>
    <w:p w:rsidR="00F14860" w:rsidRDefault="00F14860" w:rsidP="00F14860">
      <w:pPr>
        <w:framePr w:h="1420" w:hRule="exact" w:hSpace="198" w:wrap="around" w:vAnchor="text" w:hAnchor="text" w:y="1305"/>
        <w:spacing w:after="0" w:line="240" w:lineRule="auto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F14860" w:rsidRPr="00F14860" w:rsidRDefault="00F14860" w:rsidP="00F14860">
      <w:pPr>
        <w:framePr w:h="1420" w:hRule="exact" w:hSpace="198" w:wrap="around" w:vAnchor="text" w:hAnchor="text" w:y="1305"/>
        <w:spacing w:line="240" w:lineRule="auto"/>
        <w:jc w:val="center"/>
        <w:rPr>
          <w:rFonts w:ascii="SerifaBT-Roman" w:hAnsi="SerifaBT-Roman"/>
          <w:sz w:val="12"/>
          <w:szCs w:val="32"/>
        </w:rPr>
      </w:pPr>
      <w:r w:rsidRPr="00F14860">
        <w:rPr>
          <w:rFonts w:ascii="SerifaBT-Roman" w:hAnsi="SerifaBT-Roman"/>
          <w:bCs/>
          <w:sz w:val="32"/>
          <w:szCs w:val="32"/>
        </w:rPr>
        <w:t>“We are what we repeatedly do. Excellence, then, is not an act, but a habit.”</w:t>
      </w:r>
      <w:r w:rsidRPr="00F14860">
        <w:rPr>
          <w:rFonts w:ascii="SerifaBT-Roman" w:hAnsi="SerifaBT-Roman"/>
          <w:bCs/>
          <w:sz w:val="32"/>
          <w:szCs w:val="32"/>
        </w:rPr>
        <w:br/>
      </w:r>
    </w:p>
    <w:p w:rsidR="00F14860" w:rsidRPr="00F14860" w:rsidRDefault="00F14860" w:rsidP="00F14860">
      <w:pPr>
        <w:framePr w:h="1420" w:hRule="exact" w:hSpace="198" w:wrap="around" w:vAnchor="text" w:hAnchor="text" w:y="1305"/>
        <w:autoSpaceDE w:val="0"/>
        <w:autoSpaceDN w:val="0"/>
        <w:adjustRightInd w:val="0"/>
        <w:jc w:val="right"/>
        <w:rPr>
          <w:rFonts w:ascii="SerifaBT-Roman" w:hAnsi="SerifaBT-Roman"/>
          <w:bCs/>
          <w:i/>
          <w:sz w:val="32"/>
          <w:szCs w:val="32"/>
        </w:rPr>
      </w:pPr>
      <w:r w:rsidRPr="00F14860">
        <w:rPr>
          <w:rFonts w:ascii="SerifaBT-Roman" w:hAnsi="SerifaBT-Roman"/>
          <w:i/>
          <w:sz w:val="32"/>
          <w:szCs w:val="32"/>
        </w:rPr>
        <w:t>Aristotle</w:t>
      </w:r>
    </w:p>
    <w:p w:rsidR="00F14860" w:rsidRPr="000D756E" w:rsidRDefault="00F14860" w:rsidP="00F14860">
      <w:pPr>
        <w:framePr w:h="1420" w:hRule="exact" w:hSpace="198" w:wrap="around" w:vAnchor="text" w:hAnchor="text" w:y="1305"/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91471" w:rsidRPr="001D2CB6" w:rsidRDefault="00E91471" w:rsidP="00E91471">
      <w:pPr>
        <w:pStyle w:val="ListParagraph"/>
        <w:rPr>
          <w:rFonts w:ascii="SerifaBT-Roman" w:hAnsi="SerifaBT-Roman"/>
          <w:bCs/>
          <w:color w:val="FF0000"/>
          <w:sz w:val="14"/>
          <w:szCs w:val="36"/>
        </w:rPr>
      </w:pPr>
    </w:p>
    <w:p w:rsidR="00872D9C" w:rsidRPr="00872D9C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SEBI Issued </w:t>
      </w:r>
      <w:r w:rsidR="004523B7"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FAQ on </w:t>
      </w:r>
      <w:proofErr w:type="gramStart"/>
      <w:r w:rsidR="004523B7"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Delisting </w:t>
      </w:r>
      <w:r w:rsidR="00872D9C" w:rsidRPr="00872D9C">
        <w:rPr>
          <w:rFonts w:ascii="Arial" w:eastAsiaTheme="minorHAnsi" w:hAnsi="Arial" w:cs="Arial"/>
          <w:color w:val="000000"/>
          <w:sz w:val="14"/>
          <w:szCs w:val="14"/>
          <w:lang w:eastAsia="en-US"/>
        </w:rPr>
        <w:t xml:space="preserve"> </w:t>
      </w:r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 </w:t>
      </w:r>
      <w:hyperlink r:id="rId5" w:history="1">
        <w:r w:rsidR="00872D9C" w:rsidRPr="004523B7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872D9C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872D9C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8F71EC" w:rsidRPr="004523B7" w:rsidRDefault="004C32BB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MCA reported </w:t>
      </w:r>
      <w:r w:rsidR="004523B7"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Cases of Corporate Frauds/Chit Fund Scams Involving Companies</w:t>
      </w:r>
      <w:r w:rsidR="004523B7">
        <w:rPr>
          <w:rFonts w:ascii="SerifaBT-Roman" w:eastAsiaTheme="minorHAnsi" w:hAnsi="SerifaBT-Roman" w:cstheme="minorBidi"/>
          <w:sz w:val="36"/>
          <w:szCs w:val="36"/>
          <w:lang w:eastAsia="en-US"/>
        </w:rPr>
        <w:t xml:space="preserve"> </w:t>
      </w:r>
      <w:proofErr w:type="gramStart"/>
      <w:r w:rsidR="008F71E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 w:rsidR="008F71E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details, </w:t>
      </w:r>
      <w:hyperlink r:id="rId6" w:history="1">
        <w:r w:rsidR="008F71EC" w:rsidRPr="008F71EC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4523B7" w:rsidRDefault="004523B7" w:rsidP="004523B7">
      <w:pPr>
        <w:pStyle w:val="ListParagraph"/>
        <w:rPr>
          <w:rFonts w:ascii="SerifaBT-Roman" w:hAnsi="SerifaBT-Roman" w:hint="eastAsia"/>
          <w:b/>
          <w:sz w:val="36"/>
          <w:szCs w:val="36"/>
        </w:rPr>
      </w:pPr>
    </w:p>
    <w:p w:rsidR="004523B7" w:rsidRPr="004C32BB" w:rsidRDefault="004C32BB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4C32BB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IRDAI (Regulation of Insurance Business in Special Economic Zone) Rules, 2015 </w:t>
      </w:r>
      <w:proofErr w:type="gramStart"/>
      <w:r w:rsidRPr="004C32BB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 w:rsidRPr="004C32BB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</w:t>
      </w:r>
      <w:r>
        <w:rPr>
          <w:rFonts w:ascii="SerifaBT-Roman" w:eastAsiaTheme="minorHAnsi" w:hAnsi="SerifaBT-Roman" w:cstheme="minorBidi"/>
          <w:sz w:val="36"/>
          <w:szCs w:val="36"/>
          <w:lang w:eastAsia="en-US"/>
        </w:rPr>
        <w:t xml:space="preserve">, </w:t>
      </w:r>
      <w:hyperlink r:id="rId7" w:history="1">
        <w:r w:rsidRPr="004C32BB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  <w:r>
        <w:rPr>
          <w:rFonts w:ascii="SerifaBT-Roman" w:eastAsiaTheme="minorHAnsi" w:hAnsi="SerifaBT-Roman" w:cstheme="minorBidi"/>
          <w:sz w:val="36"/>
          <w:szCs w:val="36"/>
          <w:lang w:eastAsia="en-US"/>
        </w:rPr>
        <w:t xml:space="preserve"> </w:t>
      </w:r>
    </w:p>
    <w:p w:rsidR="004C32BB" w:rsidRDefault="004C32BB" w:rsidP="004C32BB">
      <w:pPr>
        <w:pStyle w:val="ListParagraph"/>
        <w:rPr>
          <w:rFonts w:ascii="SerifaBT-Roman" w:hAnsi="SerifaBT-Roman" w:hint="eastAsia"/>
          <w:b/>
          <w:sz w:val="36"/>
          <w:szCs w:val="36"/>
        </w:rPr>
      </w:pPr>
    </w:p>
    <w:p w:rsidR="004C32BB" w:rsidRPr="0033041F" w:rsidRDefault="0033041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33041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Insurance Business in Special Economic Zone</w:t>
      </w:r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proofErr w:type="gramStart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details, </w:t>
      </w:r>
      <w:hyperlink r:id="rId8" w:history="1">
        <w:r w:rsidRPr="0033041F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8F71EC" w:rsidRPr="008F71EC" w:rsidRDefault="008F71EC" w:rsidP="008F71E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4C32BB" w:rsidRDefault="004C32BB" w:rsidP="004C32BB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Finance Minister Shri Arun </w:t>
      </w:r>
      <w:proofErr w:type="spellStart"/>
      <w:r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Jaitley</w:t>
      </w:r>
      <w:proofErr w:type="spellEnd"/>
      <w:r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said that the Government has laid down a long term four year plan for Bank capitalization</w:t>
      </w:r>
      <w:r>
        <w:t xml:space="preserve"> </w:t>
      </w:r>
      <w:proofErr w:type="gramStart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 </w:t>
      </w:r>
      <w:hyperlink r:id="rId9" w:history="1">
        <w:r w:rsidRPr="00872D9C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9631BA" w:rsidRPr="00C5558F" w:rsidRDefault="009631BA" w:rsidP="0033041F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FB71B4" w:rsidRPr="00FB71B4" w:rsidRDefault="00FB71B4" w:rsidP="00FB71B4">
      <w:pPr>
        <w:framePr w:hSpace="198" w:wrap="around" w:vAnchor="text" w:hAnchor="text"/>
        <w:spacing w:after="120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</w:p>
    <w:p w:rsidR="004B50CB" w:rsidRPr="004B50CB" w:rsidRDefault="004B50CB" w:rsidP="004B50CB">
      <w:pPr>
        <w:jc w:val="center"/>
        <w:rPr>
          <w:rFonts w:ascii="SerifaBT-Roman" w:hAnsi="SerifaBT-Roman"/>
          <w:bCs/>
          <w:i/>
          <w:sz w:val="36"/>
          <w:szCs w:val="36"/>
        </w:rPr>
      </w:pPr>
      <w:r w:rsidRPr="004B50CB">
        <w:rPr>
          <w:rFonts w:ascii="SerifaBT-Roman" w:hAnsi="SerifaBT-Roman" w:hint="eastAsia"/>
          <w:bCs/>
          <w:i/>
          <w:sz w:val="36"/>
          <w:szCs w:val="36"/>
        </w:rPr>
        <w:t>“</w:t>
      </w:r>
      <w:r w:rsidRPr="004B50CB">
        <w:rPr>
          <w:rFonts w:ascii="SerifaBT-Roman" w:hAnsi="SerifaBT-Roman"/>
          <w:bCs/>
          <w:i/>
          <w:sz w:val="36"/>
          <w:szCs w:val="36"/>
        </w:rPr>
        <w:t xml:space="preserve">Sine </w:t>
      </w:r>
      <w:proofErr w:type="spellStart"/>
      <w:r w:rsidRPr="004B50CB">
        <w:rPr>
          <w:rFonts w:ascii="SerifaBT-Roman" w:hAnsi="SerifaBT-Roman"/>
          <w:bCs/>
          <w:i/>
          <w:sz w:val="36"/>
          <w:szCs w:val="36"/>
        </w:rPr>
        <w:t>consideraione</w:t>
      </w:r>
      <w:proofErr w:type="spellEnd"/>
      <w:r w:rsidRPr="004B50CB">
        <w:rPr>
          <w:rFonts w:ascii="SerifaBT-Roman" w:hAnsi="SerifaBT-Roman"/>
          <w:bCs/>
          <w:i/>
          <w:sz w:val="36"/>
          <w:szCs w:val="36"/>
        </w:rPr>
        <w:t xml:space="preserve"> curiae</w:t>
      </w:r>
      <w:r w:rsidRPr="004B50CB">
        <w:rPr>
          <w:rFonts w:ascii="SerifaBT-Roman" w:hAnsi="SerifaBT-Roman" w:hint="eastAsia"/>
          <w:bCs/>
          <w:i/>
          <w:sz w:val="36"/>
          <w:szCs w:val="36"/>
        </w:rPr>
        <w:t>”</w:t>
      </w:r>
    </w:p>
    <w:p w:rsidR="004B50CB" w:rsidRPr="004B50CB" w:rsidRDefault="004B50CB" w:rsidP="004B50CB">
      <w:pPr>
        <w:jc w:val="center"/>
        <w:rPr>
          <w:rFonts w:ascii="SerifaBT-Roman" w:hAnsi="SerifaBT-Roman"/>
          <w:bCs/>
          <w:sz w:val="36"/>
          <w:szCs w:val="36"/>
        </w:rPr>
      </w:pPr>
      <w:proofErr w:type="gramStart"/>
      <w:r w:rsidRPr="004B50CB">
        <w:rPr>
          <w:rFonts w:ascii="SerifaBT-Roman" w:hAnsi="SerifaBT-Roman"/>
          <w:bCs/>
          <w:sz w:val="36"/>
          <w:szCs w:val="36"/>
        </w:rPr>
        <w:t>Without the judgment of the court.</w:t>
      </w:r>
      <w:proofErr w:type="gramEnd"/>
    </w:p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0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11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2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A86DA9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A86DA9">
        <w:rPr>
          <w:rFonts w:ascii="SerifaBT-Roman" w:hAnsi="SerifaBT-Roman"/>
          <w:sz w:val="32"/>
          <w:szCs w:val="32"/>
        </w:rPr>
        <w:t xml:space="preserve">National Seminar on Secretarial Standards at </w:t>
      </w:r>
      <w:proofErr w:type="spellStart"/>
      <w:r w:rsidRPr="00A86DA9">
        <w:rPr>
          <w:rFonts w:ascii="SerifaBT-Roman" w:hAnsi="SerifaBT-Roman"/>
          <w:sz w:val="32"/>
          <w:szCs w:val="32"/>
        </w:rPr>
        <w:t>Kolkata</w:t>
      </w:r>
      <w:proofErr w:type="spellEnd"/>
      <w:r w:rsidRPr="00A86DA9">
        <w:rPr>
          <w:rFonts w:ascii="SerifaBT-Roman" w:hAnsi="SerifaBT-Roman"/>
          <w:sz w:val="32"/>
          <w:szCs w:val="32"/>
        </w:rPr>
        <w:t xml:space="preserve"> on August 22, 2015</w:t>
      </w:r>
      <w:r w:rsidR="003612FD" w:rsidRPr="00A86DA9">
        <w:rPr>
          <w:rFonts w:ascii="SerifaBT-Roman" w:hAnsi="SerifaBT-Roman"/>
          <w:sz w:val="32"/>
          <w:szCs w:val="32"/>
        </w:rPr>
        <w:t>. For details</w:t>
      </w:r>
      <w:r>
        <w:rPr>
          <w:rFonts w:ascii="SerifaBT-Roman" w:hAnsi="SerifaBT-Roman"/>
          <w:sz w:val="32"/>
          <w:szCs w:val="32"/>
        </w:rPr>
        <w:t xml:space="preserve"> </w:t>
      </w:r>
      <w:hyperlink r:id="rId13" w:history="1">
        <w:r w:rsidR="003612FD" w:rsidRPr="00A86DA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A86DA9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lastRenderedPageBreak/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AA01B5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4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5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D9"/>
    <w:rsid w:val="00905A57"/>
    <w:rsid w:val="00911466"/>
    <w:rsid w:val="00920387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9049C"/>
    <w:rsid w:val="00A946A5"/>
    <w:rsid w:val="00A97CC7"/>
    <w:rsid w:val="00AA01B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da.gov.in/ADMINCMS/cms/frmGeneral_NoYearLayout.aspx?page=PageNo2581" TargetMode="External"/><Relationship Id="rId13" Type="http://schemas.openxmlformats.org/officeDocument/2006/relationships/hyperlink" Target="https://www.icsi.edu/docs/website/SECRETARIAL%20STANDARD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da.gov.in/ADMINCMS/cms/frmGeneral_NoYearLayout.aspx?page=PageNo2580" TargetMode="External"/><Relationship Id="rId12" Type="http://schemas.openxmlformats.org/officeDocument/2006/relationships/hyperlink" Target="https://www.icsi.in/student/Members/DelegateRegistration/tabid/137/ctl/ViewEventDetails/mid/454/EventId/24/Default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PIB-MCAFraud.pdf" TargetMode="External"/><Relationship Id="rId11" Type="http://schemas.openxmlformats.org/officeDocument/2006/relationships/hyperlink" Target="http://www.icsi.edu/16pcs/Home.aspx" TargetMode="External"/><Relationship Id="rId5" Type="http://schemas.openxmlformats.org/officeDocument/2006/relationships/hyperlink" Target="http://www.sebi.gov.in/cms/sebi_data/attachdocs/1438341162906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s://www.youtube.com/watch?v=aCdlxnjm0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min.nic.in/press_room/2015/FM_4yearPlan_BankCapital31072015.pdf" TargetMode="External"/><Relationship Id="rId14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7</cp:revision>
  <dcterms:created xsi:type="dcterms:W3CDTF">2015-08-03T05:49:00Z</dcterms:created>
  <dcterms:modified xsi:type="dcterms:W3CDTF">2015-08-03T08:39:00Z</dcterms:modified>
</cp:coreProperties>
</file>