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6751D4" w:rsidRDefault="00484A40" w:rsidP="00484A40">
      <w:pPr>
        <w:spacing w:after="120"/>
        <w:jc w:val="center"/>
        <w:rPr>
          <w:rFonts w:ascii="Bookman Old Style" w:hAnsi="Bookman Old Style"/>
          <w:b/>
          <w:bCs/>
          <w:iCs/>
          <w:color w:val="55661E"/>
          <w:sz w:val="66"/>
          <w:szCs w:val="66"/>
          <w:lang w:val="en-US"/>
        </w:rPr>
      </w:pPr>
      <w:r w:rsidRPr="006751D4">
        <w:rPr>
          <w:rFonts w:ascii="Bookman Old Style" w:eastAsia="Calibri" w:hAnsi="Bookman Old Style" w:cs="Times New Roman"/>
          <w:b/>
          <w:bCs/>
          <w:iCs/>
          <w:color w:val="55661E"/>
          <w:sz w:val="66"/>
          <w:szCs w:val="66"/>
          <w:lang w:val="en-US"/>
        </w:rPr>
        <w:t>CS UPDATE MAY 5, 201</w:t>
      </w:r>
      <w:r w:rsidRPr="006751D4">
        <w:rPr>
          <w:rFonts w:ascii="Bookman Old Style" w:hAnsi="Bookman Old Style"/>
          <w:b/>
          <w:bCs/>
          <w:iCs/>
          <w:color w:val="55661E"/>
          <w:sz w:val="66"/>
          <w:szCs w:val="66"/>
          <w:lang w:val="en-US"/>
        </w:rPr>
        <w:t>5</w:t>
      </w:r>
    </w:p>
    <w:p w:rsidR="00484A40" w:rsidRPr="00D757E5" w:rsidRDefault="00484A40" w:rsidP="00484A40">
      <w:pPr>
        <w:spacing w:before="240" w:after="120"/>
        <w:jc w:val="both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D757E5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 xml:space="preserve">Quote of the Day </w:t>
      </w:r>
    </w:p>
    <w:p w:rsidR="00484A40" w:rsidRPr="00CB0036" w:rsidRDefault="00484A40" w:rsidP="00484A40">
      <w:pPr>
        <w:spacing w:before="120" w:after="120"/>
        <w:jc w:val="both"/>
        <w:rPr>
          <w:rFonts w:ascii="Bookman Old Style" w:hAnsi="Bookman Old Style"/>
          <w:bCs/>
          <w:i/>
          <w:sz w:val="26"/>
          <w:szCs w:val="26"/>
          <w:lang w:val="en-US"/>
        </w:rPr>
      </w:pPr>
      <w:r w:rsidRPr="00CB0036">
        <w:rPr>
          <w:rFonts w:ascii="Bookman Old Style" w:hAnsi="Bookman Old Style"/>
          <w:bCs/>
          <w:i/>
          <w:sz w:val="26"/>
          <w:szCs w:val="26"/>
          <w:lang w:val="en-US"/>
        </w:rPr>
        <w:t>“Th</w:t>
      </w:r>
      <w:r>
        <w:rPr>
          <w:rFonts w:ascii="Bookman Old Style" w:hAnsi="Bookman Old Style"/>
          <w:bCs/>
          <w:i/>
          <w:sz w:val="26"/>
          <w:szCs w:val="26"/>
          <w:lang w:val="en-US"/>
        </w:rPr>
        <w:t>e s</w:t>
      </w:r>
      <w:r w:rsidRPr="00CB0036">
        <w:rPr>
          <w:rFonts w:ascii="Bookman Old Style" w:hAnsi="Bookman Old Style"/>
          <w:bCs/>
          <w:i/>
          <w:sz w:val="26"/>
          <w:szCs w:val="26"/>
          <w:lang w:val="en-US"/>
        </w:rPr>
        <w:t>o</w:t>
      </w:r>
      <w:r>
        <w:rPr>
          <w:rFonts w:ascii="Bookman Old Style" w:hAnsi="Bookman Old Style"/>
          <w:bCs/>
          <w:i/>
          <w:sz w:val="26"/>
          <w:szCs w:val="26"/>
          <w:lang w:val="en-US"/>
        </w:rPr>
        <w:t>l</w:t>
      </w:r>
      <w:r w:rsidRPr="00CB0036">
        <w:rPr>
          <w:rFonts w:ascii="Bookman Old Style" w:hAnsi="Bookman Old Style"/>
          <w:bCs/>
          <w:i/>
          <w:sz w:val="26"/>
          <w:szCs w:val="26"/>
          <w:lang w:val="en-US"/>
        </w:rPr>
        <w:t xml:space="preserve">e </w:t>
      </w:r>
      <w:r>
        <w:rPr>
          <w:rFonts w:ascii="Bookman Old Style" w:hAnsi="Bookman Old Style"/>
          <w:bCs/>
          <w:i/>
          <w:sz w:val="26"/>
          <w:szCs w:val="26"/>
          <w:lang w:val="en-US"/>
        </w:rPr>
        <w:t>meaning of life is to serve humanity</w:t>
      </w:r>
      <w:r w:rsidRPr="00CB0036">
        <w:rPr>
          <w:rFonts w:ascii="Bookman Old Style" w:hAnsi="Bookman Old Style"/>
          <w:bCs/>
          <w:i/>
          <w:sz w:val="26"/>
          <w:szCs w:val="26"/>
          <w:lang w:val="en-US"/>
        </w:rPr>
        <w:t>.”</w:t>
      </w:r>
    </w:p>
    <w:p w:rsidR="00484A40" w:rsidRPr="00E723C9" w:rsidRDefault="00484A40" w:rsidP="00484A40">
      <w:pPr>
        <w:pStyle w:val="ListParagraph"/>
        <w:numPr>
          <w:ilvl w:val="0"/>
          <w:numId w:val="1"/>
        </w:numPr>
        <w:spacing w:after="120"/>
        <w:jc w:val="right"/>
        <w:rPr>
          <w:rFonts w:ascii="Bookman Old Style" w:hAnsi="Bookman Old Style"/>
          <w:bCs/>
          <w:sz w:val="26"/>
          <w:szCs w:val="26"/>
          <w:lang w:val="en-US"/>
        </w:rPr>
      </w:pPr>
      <w:r>
        <w:rPr>
          <w:rFonts w:ascii="Bookman Old Style" w:hAnsi="Bookman Old Style"/>
          <w:bCs/>
          <w:sz w:val="26"/>
          <w:szCs w:val="26"/>
          <w:lang w:val="en-US"/>
        </w:rPr>
        <w:t>Leo Tolstoy</w:t>
      </w:r>
    </w:p>
    <w:p w:rsidR="00484A40" w:rsidRDefault="00484A40" w:rsidP="00484A40">
      <w:pPr>
        <w:spacing w:before="120" w:after="120"/>
        <w:jc w:val="both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Regulatory Update</w:t>
      </w:r>
    </w:p>
    <w:p w:rsidR="00484A40" w:rsidRPr="00895832" w:rsidRDefault="00484A40" w:rsidP="00484A40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proofErr w:type="gramStart"/>
      <w:r w:rsidRPr="009B1D6E">
        <w:rPr>
          <w:rFonts w:ascii="Bookman Old Style" w:hAnsi="Bookman Old Style"/>
          <w:bCs/>
          <w:i/>
          <w:sz w:val="24"/>
          <w:szCs w:val="24"/>
          <w:lang w:val="en-US"/>
        </w:rPr>
        <w:t>MCA simplifie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d</w:t>
      </w:r>
      <w:r w:rsidRPr="009B1D6E">
        <w:rPr>
          <w:rFonts w:ascii="Bookman Old Style" w:hAnsi="Bookman Old Style"/>
          <w:bCs/>
          <w:i/>
          <w:sz w:val="24"/>
          <w:szCs w:val="24"/>
          <w:lang w:val="en-US"/>
        </w:rPr>
        <w:t xml:space="preserve"> incorporation process; release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d</w:t>
      </w:r>
      <w:r w:rsidRPr="009B1D6E">
        <w:rPr>
          <w:rFonts w:ascii="Bookman Old Style" w:hAnsi="Bookman Old Style"/>
          <w:bCs/>
          <w:i/>
          <w:sz w:val="24"/>
          <w:szCs w:val="24"/>
          <w:lang w:val="en-US"/>
        </w:rPr>
        <w:t xml:space="preserve"> new integrated Form INC-29 for Co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mpanie</w:t>
      </w:r>
      <w:r w:rsidRPr="009B1D6E">
        <w:rPr>
          <w:rFonts w:ascii="Bookman Old Style" w:hAnsi="Bookman Old Style"/>
          <w:bCs/>
          <w:i/>
          <w:sz w:val="24"/>
          <w:szCs w:val="24"/>
          <w:lang w:val="en-US"/>
        </w:rPr>
        <w:t>s applying for incorporation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5" w:history="1">
        <w:r w:rsidRPr="00895832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</w:p>
    <w:p w:rsidR="00484A40" w:rsidRDefault="00484A40" w:rsidP="00484A40">
      <w:pPr>
        <w:spacing w:before="120" w:after="120"/>
        <w:jc w:val="both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484A40" w:rsidRDefault="00484A40" w:rsidP="00484A40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r w:rsidRPr="009B1D6E">
        <w:rPr>
          <w:rFonts w:ascii="Bookman Old Style" w:hAnsi="Bookman Old Style"/>
          <w:bCs/>
          <w:i/>
          <w:sz w:val="24"/>
          <w:szCs w:val="24"/>
          <w:lang w:val="en-US"/>
        </w:rPr>
        <w:t>All stakeholders are hereby informed that the Ministry of Corporate Affairs has notified Roadmap for applicability of Indian Accounting Standards (</w:t>
      </w:r>
      <w:proofErr w:type="spellStart"/>
      <w:r w:rsidRPr="009B1D6E">
        <w:rPr>
          <w:rFonts w:ascii="Bookman Old Style" w:hAnsi="Bookman Old Style"/>
          <w:bCs/>
          <w:i/>
          <w:sz w:val="24"/>
          <w:szCs w:val="24"/>
          <w:lang w:val="en-US"/>
        </w:rPr>
        <w:t>Ind</w:t>
      </w:r>
      <w:proofErr w:type="spellEnd"/>
      <w:r w:rsidRPr="009B1D6E">
        <w:rPr>
          <w:rFonts w:ascii="Bookman Old Style" w:hAnsi="Bookman Old Style"/>
          <w:bCs/>
          <w:i/>
          <w:sz w:val="24"/>
          <w:szCs w:val="24"/>
          <w:lang w:val="en-US"/>
        </w:rPr>
        <w:t xml:space="preserve"> AS) for compliance by the class of companies specified in the said roadmap. The notification has been uploaded on www.mca.gov.in along with the thirty nine (39) Indian Accounting Standards (</w:t>
      </w:r>
      <w:proofErr w:type="spellStart"/>
      <w:r w:rsidRPr="009B1D6E">
        <w:rPr>
          <w:rFonts w:ascii="Bookman Old Style" w:hAnsi="Bookman Old Style"/>
          <w:bCs/>
          <w:i/>
          <w:sz w:val="24"/>
          <w:szCs w:val="24"/>
          <w:lang w:val="en-US"/>
        </w:rPr>
        <w:t>Ind</w:t>
      </w:r>
      <w:proofErr w:type="spellEnd"/>
      <w:r w:rsidRPr="009B1D6E">
        <w:rPr>
          <w:rFonts w:ascii="Bookman Old Style" w:hAnsi="Bookman Old Style"/>
          <w:bCs/>
          <w:i/>
          <w:sz w:val="24"/>
          <w:szCs w:val="24"/>
          <w:lang w:val="en-US"/>
        </w:rPr>
        <w:t xml:space="preserve"> AS).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9B1D6E">
        <w:rPr>
          <w:rFonts w:ascii="Bookman Old Style" w:hAnsi="Bookman Old Style"/>
          <w:bCs/>
          <w:i/>
          <w:sz w:val="24"/>
          <w:szCs w:val="24"/>
          <w:lang w:val="en-US"/>
        </w:rPr>
        <w:t>Companies which are not required to follow Indian Accounting Standards (</w:t>
      </w:r>
      <w:proofErr w:type="spellStart"/>
      <w:r w:rsidRPr="009B1D6E">
        <w:rPr>
          <w:rFonts w:ascii="Bookman Old Style" w:hAnsi="Bookman Old Style"/>
          <w:bCs/>
          <w:i/>
          <w:sz w:val="24"/>
          <w:szCs w:val="24"/>
          <w:lang w:val="en-US"/>
        </w:rPr>
        <w:t>Ind</w:t>
      </w:r>
      <w:proofErr w:type="spellEnd"/>
      <w:r w:rsidRPr="009B1D6E">
        <w:rPr>
          <w:rFonts w:ascii="Bookman Old Style" w:hAnsi="Bookman Old Style"/>
          <w:bCs/>
          <w:i/>
          <w:sz w:val="24"/>
          <w:szCs w:val="24"/>
          <w:lang w:val="en-US"/>
        </w:rPr>
        <w:t xml:space="preserve"> AS) shall continue to comply with Accounting Standards as prescribed in Companies (Accounting Standards) Rules, 2006</w:t>
      </w:r>
      <w:r w:rsidRPr="00B703E0"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6" w:history="1">
        <w:r w:rsidRPr="009B53AD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484A40" w:rsidRDefault="00484A40" w:rsidP="00484A40">
      <w:pPr>
        <w:spacing w:before="120" w:after="120"/>
        <w:jc w:val="both"/>
      </w:pPr>
    </w:p>
    <w:p w:rsidR="00484A40" w:rsidRDefault="00484A40" w:rsidP="00484A40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proofErr w:type="gramStart"/>
      <w:r w:rsidRPr="006A5D1E">
        <w:rPr>
          <w:rFonts w:ascii="Bookman Old Style" w:hAnsi="Bookman Old Style"/>
          <w:bCs/>
          <w:i/>
          <w:sz w:val="24"/>
          <w:szCs w:val="24"/>
          <w:lang w:val="en-US"/>
        </w:rPr>
        <w:t xml:space="preserve">Withdrawal of Duty Free Import </w:t>
      </w:r>
      <w:proofErr w:type="spellStart"/>
      <w:r w:rsidRPr="006A5D1E">
        <w:rPr>
          <w:rFonts w:ascii="Bookman Old Style" w:hAnsi="Bookman Old Style"/>
          <w:bCs/>
          <w:i/>
          <w:sz w:val="24"/>
          <w:szCs w:val="24"/>
          <w:lang w:val="en-US"/>
        </w:rPr>
        <w:t>Authorisation</w:t>
      </w:r>
      <w:proofErr w:type="spellEnd"/>
      <w:r w:rsidRPr="006A5D1E">
        <w:rPr>
          <w:rFonts w:ascii="Bookman Old Style" w:hAnsi="Bookman Old Style"/>
          <w:bCs/>
          <w:i/>
          <w:sz w:val="24"/>
          <w:szCs w:val="24"/>
          <w:lang w:val="en-US"/>
        </w:rPr>
        <w:t xml:space="preserve"> (DFIA) Scheme for import of raw Sugar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with immediate effect.</w:t>
      </w:r>
      <w:proofErr w:type="gram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7" w:history="1">
        <w:r w:rsidRPr="006A5D1E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484A40" w:rsidRPr="00363BB9" w:rsidRDefault="00484A40" w:rsidP="00484A40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484A40" w:rsidRDefault="00484A40" w:rsidP="00484A40">
      <w:pPr>
        <w:spacing w:before="120" w:after="120"/>
        <w:jc w:val="both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Views/Suggestions Solicited</w:t>
      </w:r>
    </w:p>
    <w:p w:rsidR="00484A40" w:rsidRPr="00560C14" w:rsidRDefault="00484A40" w:rsidP="00484A40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560C14">
        <w:rPr>
          <w:rFonts w:ascii="Bookman Old Style" w:hAnsi="Bookman Old Style"/>
          <w:bCs/>
          <w:i/>
          <w:sz w:val="24"/>
          <w:szCs w:val="24"/>
          <w:lang w:val="en-US"/>
        </w:rPr>
        <w:t xml:space="preserve">Views /suggestions solicited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to</w:t>
      </w:r>
      <w:r w:rsidRPr="00560C14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6A5D1E">
        <w:rPr>
          <w:rFonts w:ascii="Bookman Old Style" w:hAnsi="Bookman Old Style"/>
          <w:bCs/>
          <w:i/>
          <w:sz w:val="24"/>
          <w:szCs w:val="24"/>
          <w:lang w:val="en-US"/>
        </w:rPr>
        <w:t>ascertain areas where clarity in tax laws is required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8" w:history="1">
        <w:r w:rsidRPr="00560C14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484A40" w:rsidRDefault="00484A40" w:rsidP="00484A40">
      <w:pPr>
        <w:spacing w:before="120" w:after="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484A40" w:rsidRDefault="00484A40" w:rsidP="00484A40">
      <w:pPr>
        <w:spacing w:before="120" w:after="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560C14">
        <w:rPr>
          <w:rFonts w:ascii="Bookman Old Style" w:hAnsi="Bookman Old Style"/>
          <w:bCs/>
          <w:i/>
          <w:sz w:val="24"/>
          <w:szCs w:val="24"/>
          <w:lang w:val="en-US"/>
        </w:rPr>
        <w:t xml:space="preserve">Views /suggestions solicited on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Draft </w:t>
      </w:r>
      <w:proofErr w:type="spellStart"/>
      <w:r w:rsidRPr="007E5B1D">
        <w:rPr>
          <w:rFonts w:ascii="Bookman Old Style" w:hAnsi="Bookman Old Style"/>
          <w:bCs/>
          <w:i/>
          <w:sz w:val="24"/>
          <w:szCs w:val="24"/>
          <w:lang w:val="en-US"/>
        </w:rPr>
        <w:t>Labour</w:t>
      </w:r>
      <w:proofErr w:type="spellEnd"/>
      <w:r w:rsidRPr="007E5B1D">
        <w:rPr>
          <w:rFonts w:ascii="Bookman Old Style" w:hAnsi="Bookman Old Style"/>
          <w:bCs/>
          <w:i/>
          <w:sz w:val="24"/>
          <w:szCs w:val="24"/>
          <w:lang w:val="en-US"/>
        </w:rPr>
        <w:t xml:space="preserve"> Code on Industrial Relations Bill, 2015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9" w:history="1">
        <w:r w:rsidRPr="007E5B1D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484A40" w:rsidRDefault="00484A40" w:rsidP="00484A40">
      <w:pPr>
        <w:spacing w:after="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484A40" w:rsidRPr="00367137" w:rsidRDefault="00484A40" w:rsidP="00484A40">
      <w:pPr>
        <w:spacing w:before="120" w:after="120"/>
        <w:jc w:val="both"/>
        <w:rPr>
          <w:rFonts w:ascii="Bookman Old Style" w:hAnsi="Bookman Old Style"/>
          <w:color w:val="984806" w:themeColor="accent6" w:themeShade="80"/>
          <w:sz w:val="30"/>
          <w:szCs w:val="30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Legal Term of the Day</w:t>
      </w:r>
      <w:r w:rsidRPr="00367137">
        <w:rPr>
          <w:rFonts w:ascii="Bookman Old Style" w:hAnsi="Bookman Old Style"/>
          <w:color w:val="984806" w:themeColor="accent6" w:themeShade="80"/>
          <w:sz w:val="30"/>
          <w:szCs w:val="30"/>
        </w:rPr>
        <w:t xml:space="preserve"> </w:t>
      </w:r>
    </w:p>
    <w:p w:rsidR="00484A40" w:rsidRPr="00B15185" w:rsidRDefault="00484A40" w:rsidP="00484A40">
      <w:pPr>
        <w:spacing w:after="120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B15185">
        <w:rPr>
          <w:rFonts w:ascii="Bookman Old Style" w:hAnsi="Bookman Old Style"/>
          <w:b/>
          <w:bCs/>
          <w:i/>
          <w:iCs/>
          <w:sz w:val="24"/>
          <w:szCs w:val="24"/>
        </w:rPr>
        <w:t>“</w:t>
      </w:r>
      <w:proofErr w:type="spellStart"/>
      <w:r w:rsidRPr="005E6399">
        <w:rPr>
          <w:rFonts w:ascii="Bookman Old Style" w:hAnsi="Bookman Old Style"/>
          <w:b/>
          <w:bCs/>
          <w:i/>
          <w:iCs/>
          <w:sz w:val="24"/>
          <w:szCs w:val="24"/>
        </w:rPr>
        <w:t>Falsa</w:t>
      </w:r>
      <w:proofErr w:type="spellEnd"/>
      <w:r w:rsidRPr="005E6399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Pr="005E6399">
        <w:rPr>
          <w:rFonts w:ascii="Bookman Old Style" w:hAnsi="Bookman Old Style"/>
          <w:b/>
          <w:bCs/>
          <w:i/>
          <w:iCs/>
          <w:sz w:val="24"/>
          <w:szCs w:val="24"/>
        </w:rPr>
        <w:t>demonstratio</w:t>
      </w:r>
      <w:proofErr w:type="spellEnd"/>
      <w:r w:rsidRPr="005E6399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non </w:t>
      </w:r>
      <w:proofErr w:type="spellStart"/>
      <w:r w:rsidRPr="005E6399">
        <w:rPr>
          <w:rFonts w:ascii="Bookman Old Style" w:hAnsi="Bookman Old Style"/>
          <w:b/>
          <w:bCs/>
          <w:i/>
          <w:iCs/>
          <w:sz w:val="24"/>
          <w:szCs w:val="24"/>
        </w:rPr>
        <w:t>nocet</w:t>
      </w:r>
      <w:proofErr w:type="spellEnd"/>
      <w:r w:rsidRPr="00B15185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” </w:t>
      </w:r>
    </w:p>
    <w:p w:rsidR="00484A40" w:rsidRPr="00B15185" w:rsidRDefault="00484A40" w:rsidP="00484A40">
      <w:pPr>
        <w:spacing w:after="0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r w:rsidRPr="005E6399">
        <w:rPr>
          <w:rFonts w:ascii="Bookman Old Style" w:hAnsi="Bookman Old Style"/>
          <w:bCs/>
          <w:i/>
          <w:iCs/>
          <w:sz w:val="24"/>
          <w:szCs w:val="24"/>
        </w:rPr>
        <w:t>A false description does not vitiate</w:t>
      </w:r>
      <w:r w:rsidRPr="00E72C8A">
        <w:rPr>
          <w:rFonts w:ascii="Bookman Old Style" w:hAnsi="Bookman Old Style"/>
          <w:bCs/>
          <w:i/>
          <w:iCs/>
          <w:sz w:val="24"/>
          <w:szCs w:val="24"/>
        </w:rPr>
        <w:t>.</w:t>
      </w:r>
    </w:p>
    <w:p w:rsidR="00484A40" w:rsidRDefault="00484A40" w:rsidP="00484A40">
      <w:pPr>
        <w:spacing w:after="0"/>
        <w:jc w:val="both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484A40" w:rsidRDefault="00484A40" w:rsidP="00484A40">
      <w:pPr>
        <w:spacing w:after="0"/>
        <w:jc w:val="both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484A40" w:rsidRPr="00367137" w:rsidRDefault="00484A40" w:rsidP="00484A40">
      <w:pPr>
        <w:spacing w:before="120" w:after="120"/>
        <w:jc w:val="both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 xml:space="preserve">Market Update 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 xml:space="preserve">at </w:t>
      </w:r>
      <w:r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9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.</w:t>
      </w:r>
      <w:r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38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 xml:space="preserve"> 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119"/>
        <w:gridCol w:w="2210"/>
      </w:tblGrid>
      <w:tr w:rsidR="00484A40" w:rsidTr="004B08A6">
        <w:tc>
          <w:tcPr>
            <w:tcW w:w="2802" w:type="dxa"/>
          </w:tcPr>
          <w:p w:rsidR="00484A40" w:rsidRPr="00DF0624" w:rsidRDefault="00484A40" w:rsidP="00484A40">
            <w:pPr>
              <w:spacing w:before="120"/>
              <w:jc w:val="both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SENSEX</w:t>
            </w:r>
          </w:p>
          <w:p w:rsidR="00484A40" w:rsidRPr="00DF0624" w:rsidRDefault="00484A40" w:rsidP="00484A40">
            <w:pPr>
              <w:spacing w:before="120"/>
              <w:jc w:val="both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27434.45 (- 56.14)</w:t>
            </w:r>
          </w:p>
        </w:tc>
        <w:tc>
          <w:tcPr>
            <w:tcW w:w="2551" w:type="dxa"/>
          </w:tcPr>
          <w:p w:rsidR="00484A40" w:rsidRPr="00DF0624" w:rsidRDefault="00484A40" w:rsidP="00484A40">
            <w:pPr>
              <w:spacing w:before="120"/>
              <w:jc w:val="both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NIFTY</w:t>
            </w:r>
          </w:p>
          <w:p w:rsidR="00484A40" w:rsidRPr="00493731" w:rsidRDefault="00484A40" w:rsidP="00484A40">
            <w:pPr>
              <w:spacing w:before="120"/>
              <w:jc w:val="both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8308.35 (- 23.60) </w:t>
            </w:r>
          </w:p>
        </w:tc>
        <w:tc>
          <w:tcPr>
            <w:tcW w:w="3119" w:type="dxa"/>
          </w:tcPr>
          <w:p w:rsidR="00484A40" w:rsidRPr="00DF0624" w:rsidRDefault="00484A40" w:rsidP="00484A40">
            <w:pPr>
              <w:spacing w:before="120"/>
              <w:jc w:val="both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GOLD (MCX) (Rs/10g.)</w:t>
            </w:r>
          </w:p>
          <w:p w:rsidR="00484A40" w:rsidRPr="00493731" w:rsidRDefault="00484A40" w:rsidP="00484A40">
            <w:pPr>
              <w:spacing w:before="120"/>
              <w:jc w:val="both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6864.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00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(+ 228.00)</w:t>
            </w:r>
          </w:p>
        </w:tc>
        <w:tc>
          <w:tcPr>
            <w:tcW w:w="2210" w:type="dxa"/>
          </w:tcPr>
          <w:p w:rsidR="00484A40" w:rsidRPr="00DF0624" w:rsidRDefault="00484A40" w:rsidP="00484A40">
            <w:pPr>
              <w:spacing w:before="120"/>
              <w:jc w:val="both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USD/INR</w:t>
            </w:r>
          </w:p>
          <w:p w:rsidR="00484A40" w:rsidRPr="00493731" w:rsidRDefault="00484A40" w:rsidP="00484A40">
            <w:pPr>
              <w:spacing w:before="120"/>
              <w:jc w:val="both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3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58 (+ 0.14)</w:t>
            </w:r>
          </w:p>
        </w:tc>
      </w:tr>
    </w:tbl>
    <w:p w:rsidR="00484A40" w:rsidRDefault="00484A40" w:rsidP="00484A40">
      <w:pPr>
        <w:spacing w:before="120" w:after="120"/>
        <w:jc w:val="both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484A40" w:rsidRDefault="00484A40" w:rsidP="00484A40">
      <w:pPr>
        <w:spacing w:before="120" w:after="120"/>
        <w:jc w:val="both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484A40" w:rsidRPr="00363BB9" w:rsidRDefault="00484A40" w:rsidP="00484A40">
      <w:pPr>
        <w:spacing w:before="120" w:after="120"/>
        <w:jc w:val="both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363BB9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ICSI Update</w:t>
      </w:r>
    </w:p>
    <w:p w:rsidR="00EF2541" w:rsidRPr="00EF2541" w:rsidRDefault="00EF2541" w:rsidP="00EF2541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EF2541">
        <w:rPr>
          <w:rFonts w:ascii="Bookman Old Style" w:hAnsi="Bookman Old Style"/>
          <w:bCs/>
          <w:i/>
          <w:sz w:val="24"/>
          <w:szCs w:val="24"/>
          <w:lang w:val="en-US"/>
        </w:rPr>
        <w:t>16</w:t>
      </w:r>
      <w:r w:rsidRPr="00EF2541">
        <w:rPr>
          <w:rFonts w:ascii="Bookman Old Style" w:hAnsi="Bookman Old Style"/>
          <w:bCs/>
          <w:i/>
          <w:sz w:val="24"/>
          <w:szCs w:val="24"/>
          <w:vertAlign w:val="superscript"/>
          <w:lang w:val="en-US"/>
        </w:rPr>
        <w:t>th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EF2541">
        <w:rPr>
          <w:rFonts w:ascii="Bookman Old Style" w:hAnsi="Bookman Old Style"/>
          <w:bCs/>
          <w:i/>
          <w:sz w:val="24"/>
          <w:szCs w:val="24"/>
          <w:lang w:val="en-US"/>
        </w:rPr>
        <w:t>National Conference of Practicing Company Secretaries on August 13-14, 2015 at Kochi. The details of the Conference would be hosted in the ICSI website in due course.</w:t>
      </w:r>
    </w:p>
    <w:p w:rsidR="00EF2541" w:rsidRDefault="00EF2541" w:rsidP="00EF2541">
      <w:pPr>
        <w:spacing w:before="120" w:after="120"/>
        <w:jc w:val="both"/>
      </w:pPr>
    </w:p>
    <w:p w:rsidR="00B05ECC" w:rsidRDefault="00796821" w:rsidP="00EF2541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hyperlink r:id="rId10" w:tgtFrame="blank" w:history="1">
        <w:r w:rsidR="00484A40" w:rsidRPr="00A44F72">
          <w:rPr>
            <w:rFonts w:ascii="Bookman Old Style" w:hAnsi="Bookman Old Style"/>
            <w:bCs/>
            <w:i/>
            <w:sz w:val="24"/>
            <w:szCs w:val="24"/>
            <w:lang w:val="en-US"/>
          </w:rPr>
          <w:t>ICSI celebrates Capital Markets Week during May 25-31, 2015</w:t>
        </w:r>
      </w:hyperlink>
      <w:r w:rsidR="00484A40"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11" w:history="1">
        <w:r w:rsidR="00484A40" w:rsidRPr="00A44F72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484A40" w:rsidRDefault="00484A40" w:rsidP="00484A40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</w:p>
    <w:p w:rsidR="00484A40" w:rsidRDefault="00484A40" w:rsidP="00484A40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r w:rsidRPr="007F6214">
        <w:rPr>
          <w:rFonts w:ascii="Bookman Old Style" w:hAnsi="Bookman Old Style"/>
          <w:bCs/>
          <w:i/>
          <w:sz w:val="24"/>
          <w:szCs w:val="24"/>
          <w:lang w:val="en-US"/>
        </w:rPr>
        <w:t>Workshop on Indirect Taxes on 15th May 2015 at PHD House, New Delhi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12" w:history="1">
        <w:r w:rsidRPr="00484A40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484A40" w:rsidRDefault="00484A40" w:rsidP="00484A40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</w:p>
    <w:p w:rsidR="00484A40" w:rsidRDefault="00484A40" w:rsidP="00484A40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proofErr w:type="gramStart"/>
      <w:r w:rsidRPr="005E6399">
        <w:rPr>
          <w:rFonts w:ascii="Bookman Old Style" w:hAnsi="Bookman Old Style"/>
          <w:bCs/>
          <w:i/>
          <w:sz w:val="24"/>
          <w:szCs w:val="24"/>
          <w:lang w:val="en-US"/>
        </w:rPr>
        <w:t xml:space="preserve">National Seminar on Secretarial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Standards</w:t>
      </w:r>
      <w:r w:rsidRPr="005E639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on May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9</w:t>
      </w:r>
      <w:r w:rsidRPr="005E6399">
        <w:rPr>
          <w:rFonts w:ascii="Bookman Old Style" w:hAnsi="Bookman Old Style"/>
          <w:bCs/>
          <w:i/>
          <w:sz w:val="24"/>
          <w:szCs w:val="24"/>
          <w:lang w:val="en-US"/>
        </w:rPr>
        <w:t xml:space="preserve">, 2015 at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Noida</w:t>
      </w:r>
      <w:r w:rsidRPr="005E6399"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 w:rsidRPr="005E639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hyperlink r:id="rId13" w:history="1">
        <w:r w:rsidRPr="00484A40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484A40" w:rsidRDefault="00484A40" w:rsidP="00484A40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</w:p>
    <w:p w:rsidR="00484A40" w:rsidRDefault="00484A40" w:rsidP="00484A40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proofErr w:type="gramStart"/>
      <w:r w:rsidRPr="005E6399">
        <w:rPr>
          <w:rFonts w:ascii="Bookman Old Style" w:hAnsi="Bookman Old Style"/>
          <w:bCs/>
          <w:i/>
          <w:sz w:val="24"/>
          <w:szCs w:val="24"/>
          <w:lang w:val="en-US"/>
        </w:rPr>
        <w:t>National Seminar on Secretarial Audit on May 16, 2015 at Bhubaneswar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14" w:history="1">
        <w:r w:rsidRPr="00484A40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484A40" w:rsidRDefault="00484A40" w:rsidP="00484A40">
      <w:pPr>
        <w:pBdr>
          <w:bottom w:val="single" w:sz="6" w:space="1" w:color="auto"/>
        </w:pBdr>
        <w:jc w:val="both"/>
        <w:rPr>
          <w:color w:val="FF0000"/>
        </w:rPr>
      </w:pPr>
    </w:p>
    <w:p w:rsidR="00484A40" w:rsidRDefault="00484A40" w:rsidP="00484A40">
      <w:pPr>
        <w:jc w:val="both"/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t xml:space="preserve">For Previous CS UPDATES </w:t>
      </w:r>
      <w:proofErr w:type="gramStart"/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t>visit :</w:t>
      </w:r>
      <w:proofErr w:type="gramEnd"/>
    </w:p>
    <w:p w:rsidR="00484A40" w:rsidRPr="00484A40" w:rsidRDefault="00484A40" w:rsidP="00484A40">
      <w:pPr>
        <w:jc w:val="both"/>
        <w:rPr>
          <w:color w:val="FF0000"/>
        </w:rPr>
      </w:pPr>
      <w:r w:rsidRPr="00DF0624">
        <w:rPr>
          <w:rFonts w:ascii="Bookman Old Style" w:hAnsi="Bookman Old Style"/>
          <w:bCs/>
          <w:sz w:val="24"/>
          <w:szCs w:val="24"/>
          <w:lang w:val="en-US"/>
        </w:rPr>
        <w:t>http://www.icsi.edu/Member/CSUpdate.aspx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cr/>
      </w:r>
      <w:proofErr w:type="gramStart"/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Directorate of </w:t>
      </w:r>
      <w:r>
        <w:rPr>
          <w:rFonts w:ascii="Bookman Old Style" w:hAnsi="Bookman Old Style"/>
          <w:bCs/>
          <w:sz w:val="24"/>
          <w:szCs w:val="24"/>
          <w:lang w:val="en-US"/>
        </w:rPr>
        <w:t xml:space="preserve">Academics, 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Professional Development</w:t>
      </w:r>
      <w:r>
        <w:rPr>
          <w:rFonts w:ascii="Bookman Old Style" w:hAnsi="Bookman Old Style"/>
          <w:bCs/>
          <w:sz w:val="24"/>
          <w:szCs w:val="24"/>
          <w:lang w:val="en-US"/>
        </w:rPr>
        <w:t xml:space="preserve"> &amp; Perspective Planning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, ICSI</w:t>
      </w:r>
      <w:r>
        <w:rPr>
          <w:rFonts w:ascii="Bookman Old Style" w:hAnsi="Bookman Old Style"/>
          <w:bCs/>
          <w:sz w:val="24"/>
          <w:szCs w:val="24"/>
          <w:lang w:val="en-US"/>
        </w:rPr>
        <w:t>.</w:t>
      </w:r>
      <w:proofErr w:type="gramEnd"/>
      <w:r>
        <w:rPr>
          <w:rFonts w:ascii="Bookman Old Style" w:hAnsi="Bookman Old Style"/>
          <w:bCs/>
          <w:sz w:val="24"/>
          <w:szCs w:val="24"/>
          <w:lang w:val="en-US"/>
        </w:rPr>
        <w:t xml:space="preserve"> Email: </w:t>
      </w:r>
      <w:hyperlink r:id="rId15" w:history="1">
        <w:r w:rsidRPr="00D07F27">
          <w:rPr>
            <w:rStyle w:val="Hyperlink"/>
            <w:rFonts w:ascii="Bookman Old Style" w:hAnsi="Bookman Old Style"/>
            <w:bCs/>
            <w:sz w:val="24"/>
            <w:szCs w:val="24"/>
            <w:lang w:val="en-US"/>
          </w:rPr>
          <w:t>csupdate@icsi.edu</w:t>
        </w:r>
      </w:hyperlink>
      <w:r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</w:p>
    <w:sectPr w:rsidR="00484A40" w:rsidRPr="00484A40" w:rsidSect="00484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484A40"/>
    <w:rsid w:val="006751D4"/>
    <w:rsid w:val="0074118E"/>
    <w:rsid w:val="00777D3E"/>
    <w:rsid w:val="00796821"/>
    <w:rsid w:val="008C5879"/>
    <w:rsid w:val="008F67CF"/>
    <w:rsid w:val="00AD4CD6"/>
    <w:rsid w:val="00B05ECC"/>
    <w:rsid w:val="00C918C3"/>
    <w:rsid w:val="00D224D6"/>
    <w:rsid w:val="00DF66A1"/>
    <w:rsid w:val="00E8624A"/>
    <w:rsid w:val="00EF2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cometaxindia.gov.in/Lists/Press%20Releases/Attachments/360/CBDT-Press-Release-01-05-2015.pdf" TargetMode="External"/><Relationship Id="rId13" Type="http://schemas.openxmlformats.org/officeDocument/2006/relationships/hyperlink" Target="https://www.icsi.edu/Docs/Website/FLYER%20noida_final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gft.gov.in/exim/2000/NOT/NOT15/not0515.pdf" TargetMode="External"/><Relationship Id="rId12" Type="http://schemas.openxmlformats.org/officeDocument/2006/relationships/hyperlink" Target="https://www.icsi.edu/docs/website/Workshop%20Series%20on%20Indirect%20Taxes%20GST%20-%2015%20May%202015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mca.gov.in/MinistryV2_hn/Stand.html" TargetMode="External"/><Relationship Id="rId11" Type="http://schemas.openxmlformats.org/officeDocument/2006/relationships/hyperlink" Target="https://www.icsi.edu/docs/Website/Announcement%20(2).pdf" TargetMode="External"/><Relationship Id="rId5" Type="http://schemas.openxmlformats.org/officeDocument/2006/relationships/hyperlink" Target="http://mca.gov.in/Ministry/pdf/AmendmentRules_01052015.pdf" TargetMode="External"/><Relationship Id="rId15" Type="http://schemas.openxmlformats.org/officeDocument/2006/relationships/hyperlink" Target="mailto:csupdate@icsi.edu" TargetMode="External"/><Relationship Id="rId10" Type="http://schemas.openxmlformats.org/officeDocument/2006/relationships/hyperlink" Target="https://www.icsi.edu/docs/Website/Announcement%20(2)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si.edu/portals/0/ATTENTION%20MEMBERS.pdf" TargetMode="External"/><Relationship Id="rId14" Type="http://schemas.openxmlformats.org/officeDocument/2006/relationships/hyperlink" Target="https://www.icsi.edu/docs/Website/FLYER%20Bhubaneswar%2016%20may%2020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4</cp:revision>
  <dcterms:created xsi:type="dcterms:W3CDTF">2015-05-05T04:48:00Z</dcterms:created>
  <dcterms:modified xsi:type="dcterms:W3CDTF">2015-05-05T06:02:00Z</dcterms:modified>
</cp:coreProperties>
</file>