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MAY </w:t>
      </w:r>
      <w:r w:rsidR="004E4470"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2</w:t>
      </w:r>
      <w:r w:rsidR="0046734E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6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601091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601091" w:rsidRPr="00601091">
        <w:rPr>
          <w:rFonts w:ascii="SerifaBT-Roman" w:hAnsi="SerifaBT-Roman"/>
          <w:bCs/>
          <w:i/>
          <w:sz w:val="32"/>
          <w:szCs w:val="32"/>
          <w:lang w:val="en-US"/>
        </w:rPr>
        <w:t>Altruism is one of the most fundamentally social impulses, and doing things for others without expecting anything in return</w:t>
      </w:r>
      <w:r w:rsidR="00601091">
        <w:rPr>
          <w:rFonts w:ascii="SerifaBT-Roman" w:hAnsi="SerifaBT-Roman"/>
          <w:bCs/>
          <w:i/>
          <w:sz w:val="32"/>
          <w:szCs w:val="32"/>
          <w:lang w:val="en-US"/>
        </w:rPr>
        <w:t xml:space="preserve"> is core to what makes us human</w:t>
      </w:r>
      <w:r w:rsidR="00A45DAE" w:rsidRPr="00A45DAE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484A40" w:rsidRPr="00A45DAE" w:rsidRDefault="00601091" w:rsidP="0021647B">
      <w:pPr>
        <w:pStyle w:val="ListParagraph"/>
        <w:numPr>
          <w:ilvl w:val="0"/>
          <w:numId w:val="2"/>
        </w:numPr>
        <w:spacing w:after="120" w:line="240" w:lineRule="auto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Joe Green</w:t>
      </w: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AB4BAE" w:rsidRDefault="0046734E" w:rsidP="00FC75F3">
      <w:pPr>
        <w:spacing w:before="120" w:after="120"/>
        <w:jc w:val="both"/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SEBI released </w:t>
      </w:r>
      <w:r w:rsidRPr="0046734E">
        <w:rPr>
          <w:rFonts w:ascii="SerifaBT-Roman" w:hAnsi="SerifaBT-Roman"/>
          <w:bCs/>
          <w:sz w:val="32"/>
          <w:szCs w:val="32"/>
          <w:lang w:val="en-US"/>
        </w:rPr>
        <w:t>Frequently Asked Questions (FAQs)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on </w:t>
      </w:r>
      <w:r w:rsidRPr="0046734E">
        <w:rPr>
          <w:rFonts w:ascii="SerifaBT-Roman" w:hAnsi="SerifaBT-Roman"/>
          <w:bCs/>
          <w:sz w:val="32"/>
          <w:szCs w:val="32"/>
          <w:lang w:val="en-US"/>
        </w:rPr>
        <w:t>SEBI (Foreign Portfolio Investors) Regulations, 2014</w:t>
      </w:r>
      <w:r w:rsidR="00D62353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5" w:history="1">
        <w:r w:rsidR="00D62353" w:rsidRPr="00D62353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F32CC" w:rsidRDefault="00FF32CC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9D5155" w:rsidRDefault="009D5155" w:rsidP="009D5155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124F0D" w:rsidRPr="00124F0D" w:rsidRDefault="00124F0D" w:rsidP="00484A40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 w:rsidRPr="00004DF0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Land Acquisition Bill, 2015. For details </w:t>
      </w:r>
      <w:hyperlink r:id="rId6" w:history="1">
        <w:r w:rsidRPr="00124F0D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24F0D" w:rsidRDefault="00124F0D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004DF0" w:rsidRDefault="00004DF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 w:rsidRPr="00004DF0">
        <w:rPr>
          <w:rFonts w:ascii="SerifaBT-Roman" w:hAnsi="SerifaBT-Roman"/>
          <w:bCs/>
          <w:sz w:val="32"/>
          <w:szCs w:val="32"/>
          <w:lang w:val="en-US"/>
        </w:rPr>
        <w:t xml:space="preserve"> Draft scheme of the proposed rules for computation of Arm’s Length Price (ALP) of an International Transaction or Specified Domestic Transaction undertaken on or after 01.04.2014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7" w:history="1">
        <w:r w:rsidRPr="00004DF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004DF0" w:rsidRDefault="00004DF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2D4EB7" w:rsidRDefault="002D4EB7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58256E" w:rsidRPr="0058256E">
        <w:rPr>
          <w:rFonts w:ascii="SerifaBT-Roman" w:hAnsi="SerifaBT-Roman"/>
          <w:b/>
          <w:bCs/>
          <w:i/>
          <w:iCs/>
          <w:sz w:val="32"/>
          <w:szCs w:val="32"/>
        </w:rPr>
        <w:t>Impotentia</w:t>
      </w:r>
      <w:proofErr w:type="spellEnd"/>
      <w:r w:rsidR="0058256E" w:rsidRPr="0058256E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58256E" w:rsidRPr="0058256E">
        <w:rPr>
          <w:rFonts w:ascii="SerifaBT-Roman" w:hAnsi="SerifaBT-Roman"/>
          <w:b/>
          <w:bCs/>
          <w:i/>
          <w:iCs/>
          <w:sz w:val="32"/>
          <w:szCs w:val="32"/>
        </w:rPr>
        <w:t>excusat</w:t>
      </w:r>
      <w:proofErr w:type="spellEnd"/>
      <w:r w:rsidR="0058256E" w:rsidRPr="0058256E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58256E" w:rsidRPr="0058256E">
        <w:rPr>
          <w:rFonts w:ascii="SerifaBT-Roman" w:hAnsi="SerifaBT-Roman"/>
          <w:b/>
          <w:bCs/>
          <w:i/>
          <w:iCs/>
          <w:sz w:val="32"/>
          <w:szCs w:val="32"/>
        </w:rPr>
        <w:t>legem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58256E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58256E">
        <w:rPr>
          <w:rFonts w:ascii="SerifaBT-Roman" w:hAnsi="SerifaBT-Roman"/>
          <w:bCs/>
          <w:iCs/>
          <w:sz w:val="32"/>
          <w:szCs w:val="32"/>
        </w:rPr>
        <w:t>Impossibility is an excuse in the law</w:t>
      </w:r>
      <w:r w:rsidR="00735E41" w:rsidRPr="00735E41">
        <w:rPr>
          <w:rFonts w:ascii="SerifaBT-Roman" w:hAnsi="SerifaBT-Roman"/>
          <w:bCs/>
          <w:iCs/>
          <w:sz w:val="32"/>
          <w:szCs w:val="32"/>
        </w:rPr>
        <w:t>.</w:t>
      </w:r>
    </w:p>
    <w:p w:rsidR="00811E50" w:rsidRDefault="00811E5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2D4EB7" w:rsidRPr="00DF3B13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54BE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84643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2</w:t>
      </w:r>
      <w:r w:rsidR="00FC0EB3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84643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84643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637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84643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32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054BE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84643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84643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56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84643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364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="00054BE6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54BE6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84643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160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78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84643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15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520A6E" w:rsidRDefault="00520A6E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2D4EB7" w:rsidRDefault="002D4EB7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A55221" w:rsidRPr="008A7360" w:rsidRDefault="00A55221" w:rsidP="00A55221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2138"/>
        <w:gridCol w:w="1701"/>
        <w:gridCol w:w="1816"/>
      </w:tblGrid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May </w:t>
            </w: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3</w:t>
            </w: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1</w:t>
            </w: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, 2015</w:t>
            </w:r>
          </w:p>
        </w:tc>
        <w:tc>
          <w:tcPr>
            <w:tcW w:w="1701" w:type="dxa"/>
          </w:tcPr>
          <w:p w:rsidR="00A55221" w:rsidRPr="008A7360" w:rsidRDefault="00A55221" w:rsidP="00A55221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</w:t>
            </w: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unday</w:t>
            </w:r>
          </w:p>
        </w:tc>
        <w:tc>
          <w:tcPr>
            <w:tcW w:w="1816" w:type="dxa"/>
          </w:tcPr>
          <w:p w:rsidR="00A55221" w:rsidRPr="008A7360" w:rsidRDefault="00A55221" w:rsidP="00A55221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New Delhi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</w:tbl>
    <w:p w:rsidR="00A55221" w:rsidRDefault="00A55221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B13C5" w:rsidRDefault="00351682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>ICSI celebrates Capital Markets Week during May 25-31, 2015</w:t>
      </w:r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, </w:t>
      </w:r>
      <w:r w:rsidR="003744ED">
        <w:rPr>
          <w:rFonts w:ascii="SerifaBT-Roman" w:hAnsi="SerifaBT-Roman"/>
          <w:bCs/>
          <w:sz w:val="32"/>
          <w:szCs w:val="32"/>
          <w:lang w:val="en-US"/>
        </w:rPr>
        <w:t>details</w:t>
      </w:r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 of mega </w:t>
      </w:r>
      <w:proofErr w:type="spellStart"/>
      <w:r w:rsidR="00C03DD6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C660A7">
        <w:rPr>
          <w:rFonts w:ascii="SerifaBT-Roman" w:hAnsi="SerifaBT-Roman"/>
          <w:bCs/>
          <w:sz w:val="32"/>
          <w:szCs w:val="32"/>
          <w:lang w:val="en-US"/>
        </w:rPr>
        <w:t>are</w:t>
      </w:r>
      <w:r w:rsidR="009D50B1">
        <w:t xml:space="preserve"> </w:t>
      </w:r>
      <w:r w:rsidR="009D50B1" w:rsidRPr="009D50B1">
        <w:rPr>
          <w:rFonts w:ascii="SerifaBT-Roman" w:hAnsi="SerifaBT-Roman"/>
          <w:bCs/>
          <w:sz w:val="32"/>
          <w:szCs w:val="32"/>
          <w:lang w:val="en-US"/>
        </w:rPr>
        <w:t>as follows:</w:t>
      </w: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Chennai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May </w:t>
      </w:r>
      <w:r>
        <w:rPr>
          <w:rFonts w:ascii="SerifaBT-Roman" w:hAnsi="SerifaBT-Roman"/>
          <w:bCs/>
          <w:sz w:val="32"/>
          <w:szCs w:val="32"/>
          <w:lang w:val="en-US"/>
        </w:rPr>
        <w:t>28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8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C03DD6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Ahmedabad on May 30, 2015. For details </w:t>
      </w:r>
      <w:hyperlink r:id="rId9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03DD6" w:rsidRPr="00891AA2" w:rsidRDefault="00C03DD6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Madurai on May 30, 2015. For details </w:t>
      </w:r>
      <w:hyperlink r:id="rId10" w:history="1">
        <w:r w:rsidRPr="00C03DD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891AA2" w:rsidRPr="00C03DD6" w:rsidRDefault="00891AA2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Kolkata on May 30, 2015. For details </w:t>
      </w:r>
      <w:hyperlink r:id="rId11" w:history="1">
        <w:r w:rsidRPr="00891AA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03DD6" w:rsidRPr="004B13C5" w:rsidRDefault="00C03DD6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spellStart"/>
      <w:r w:rsidRPr="00C03DD6">
        <w:rPr>
          <w:rFonts w:ascii="SerifaBT-Roman" w:hAnsi="SerifaBT-Roman"/>
          <w:bCs/>
          <w:sz w:val="32"/>
          <w:szCs w:val="32"/>
          <w:lang w:val="en-US"/>
        </w:rPr>
        <w:t>Guwahati</w:t>
      </w:r>
      <w:proofErr w:type="spellEnd"/>
      <w:r w:rsidRPr="00C03DD6">
        <w:rPr>
          <w:rFonts w:ascii="SerifaBT-Roman" w:hAnsi="SerifaBT-Roman"/>
          <w:bCs/>
          <w:sz w:val="32"/>
          <w:szCs w:val="32"/>
          <w:lang w:val="en-US"/>
        </w:rPr>
        <w:t xml:space="preserve"> on May 31, 2015. For details </w:t>
      </w:r>
      <w:hyperlink r:id="rId12" w:history="1">
        <w:r w:rsidRPr="00C03DD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Mumbai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>
        <w:rPr>
          <w:rFonts w:ascii="SerifaBT-Roman" w:hAnsi="SerifaBT-Roman"/>
          <w:bCs/>
          <w:sz w:val="32"/>
          <w:szCs w:val="32"/>
          <w:lang w:val="en-US"/>
        </w:rPr>
        <w:t>June 2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3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4B13C5">
      <w:pPr>
        <w:pStyle w:val="ListParagraph"/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C7483" w:rsidRDefault="00CC748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>
        <w:rPr>
          <w:rFonts w:ascii="SerifaBT-Roman" w:hAnsi="SerifaBT-Roman"/>
          <w:sz w:val="32"/>
          <w:szCs w:val="32"/>
        </w:rPr>
        <w:t xml:space="preserve">Workshop </w:t>
      </w:r>
      <w:r w:rsidRPr="00CC7483">
        <w:rPr>
          <w:rFonts w:ascii="SerifaBT-Roman" w:hAnsi="SerifaBT-Roman"/>
          <w:sz w:val="32"/>
          <w:szCs w:val="32"/>
        </w:rPr>
        <w:t>on Shareholder’s Voting Rights – E-Voting &amp; Postal Ballot on 29th May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4" w:history="1">
        <w:r w:rsidRPr="0021412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C7483" w:rsidRDefault="00CC748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9829DD" w:rsidRDefault="009829DD" w:rsidP="00351682">
      <w:pPr>
        <w:spacing w:before="120" w:after="120"/>
        <w:jc w:val="both"/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5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66463" w:rsidRDefault="00B66463" w:rsidP="00351682">
      <w:pPr>
        <w:spacing w:before="120" w:after="120"/>
        <w:jc w:val="both"/>
      </w:pPr>
    </w:p>
    <w:p w:rsidR="00B66463" w:rsidRDefault="00B66463" w:rsidP="00351682">
      <w:pPr>
        <w:spacing w:before="120" w:after="120"/>
        <w:jc w:val="both"/>
      </w:pPr>
    </w:p>
    <w:p w:rsidR="00B66463" w:rsidRPr="008A7360" w:rsidRDefault="00B6646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66463">
        <w:rPr>
          <w:rFonts w:ascii="SerifaBT-Roman" w:hAnsi="SerifaBT-Roman"/>
          <w:sz w:val="32"/>
          <w:szCs w:val="32"/>
        </w:rPr>
        <w:t>Workshop on Service Tax on June 19,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6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7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33686"/>
    <w:rsid w:val="00035125"/>
    <w:rsid w:val="00047A86"/>
    <w:rsid w:val="00052F74"/>
    <w:rsid w:val="00054BE6"/>
    <w:rsid w:val="00075A35"/>
    <w:rsid w:val="000848BE"/>
    <w:rsid w:val="000855E9"/>
    <w:rsid w:val="000A466C"/>
    <w:rsid w:val="000A4C15"/>
    <w:rsid w:val="000C62C9"/>
    <w:rsid w:val="000F04AD"/>
    <w:rsid w:val="001064E4"/>
    <w:rsid w:val="00124F0D"/>
    <w:rsid w:val="00143024"/>
    <w:rsid w:val="00153BE5"/>
    <w:rsid w:val="00173D40"/>
    <w:rsid w:val="00175CB1"/>
    <w:rsid w:val="0019004C"/>
    <w:rsid w:val="00192708"/>
    <w:rsid w:val="001965B7"/>
    <w:rsid w:val="001B57E0"/>
    <w:rsid w:val="001C0FA6"/>
    <w:rsid w:val="001C2399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665A4"/>
    <w:rsid w:val="00276F45"/>
    <w:rsid w:val="002C65E0"/>
    <w:rsid w:val="002D4EB7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F4D2B"/>
    <w:rsid w:val="003F70CF"/>
    <w:rsid w:val="004204CA"/>
    <w:rsid w:val="00436B38"/>
    <w:rsid w:val="0044058B"/>
    <w:rsid w:val="00445A21"/>
    <w:rsid w:val="004646C6"/>
    <w:rsid w:val="00465540"/>
    <w:rsid w:val="0046734E"/>
    <w:rsid w:val="00475098"/>
    <w:rsid w:val="00484A40"/>
    <w:rsid w:val="004B13C5"/>
    <w:rsid w:val="004D1170"/>
    <w:rsid w:val="004D2CE4"/>
    <w:rsid w:val="004E1ED4"/>
    <w:rsid w:val="004E4470"/>
    <w:rsid w:val="004F30A5"/>
    <w:rsid w:val="004F7C59"/>
    <w:rsid w:val="0050093A"/>
    <w:rsid w:val="00505C2D"/>
    <w:rsid w:val="00516628"/>
    <w:rsid w:val="00520A6E"/>
    <w:rsid w:val="00521C6C"/>
    <w:rsid w:val="00523626"/>
    <w:rsid w:val="005312C4"/>
    <w:rsid w:val="00535ABA"/>
    <w:rsid w:val="0053757A"/>
    <w:rsid w:val="005539A4"/>
    <w:rsid w:val="0058256E"/>
    <w:rsid w:val="00582996"/>
    <w:rsid w:val="005863ED"/>
    <w:rsid w:val="0059262F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775E"/>
    <w:rsid w:val="006310FD"/>
    <w:rsid w:val="0063789B"/>
    <w:rsid w:val="006751D4"/>
    <w:rsid w:val="00686D42"/>
    <w:rsid w:val="006D7B4F"/>
    <w:rsid w:val="0070747E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C2539"/>
    <w:rsid w:val="007D01CC"/>
    <w:rsid w:val="00811E50"/>
    <w:rsid w:val="00817DFF"/>
    <w:rsid w:val="008307EE"/>
    <w:rsid w:val="00834A3C"/>
    <w:rsid w:val="0084643A"/>
    <w:rsid w:val="00846854"/>
    <w:rsid w:val="00891AA2"/>
    <w:rsid w:val="0089582A"/>
    <w:rsid w:val="008A7360"/>
    <w:rsid w:val="008B57A8"/>
    <w:rsid w:val="008B7226"/>
    <w:rsid w:val="008C5879"/>
    <w:rsid w:val="008C6F04"/>
    <w:rsid w:val="008D0A12"/>
    <w:rsid w:val="008E505F"/>
    <w:rsid w:val="008F17DC"/>
    <w:rsid w:val="008F2E9D"/>
    <w:rsid w:val="008F365C"/>
    <w:rsid w:val="008F43D8"/>
    <w:rsid w:val="008F67CF"/>
    <w:rsid w:val="00954853"/>
    <w:rsid w:val="009829DD"/>
    <w:rsid w:val="00990766"/>
    <w:rsid w:val="00997CD4"/>
    <w:rsid w:val="009B1946"/>
    <w:rsid w:val="009C4B7E"/>
    <w:rsid w:val="009D50B1"/>
    <w:rsid w:val="009D5155"/>
    <w:rsid w:val="009E7E62"/>
    <w:rsid w:val="009F2B46"/>
    <w:rsid w:val="009F7F6E"/>
    <w:rsid w:val="00A044FE"/>
    <w:rsid w:val="00A05AF2"/>
    <w:rsid w:val="00A44826"/>
    <w:rsid w:val="00A45DAE"/>
    <w:rsid w:val="00A55221"/>
    <w:rsid w:val="00A63666"/>
    <w:rsid w:val="00A70C8C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16CA1"/>
    <w:rsid w:val="00B21664"/>
    <w:rsid w:val="00B351D4"/>
    <w:rsid w:val="00B44077"/>
    <w:rsid w:val="00B624D4"/>
    <w:rsid w:val="00B66463"/>
    <w:rsid w:val="00B702E4"/>
    <w:rsid w:val="00B70EAC"/>
    <w:rsid w:val="00BB4C09"/>
    <w:rsid w:val="00BC1D96"/>
    <w:rsid w:val="00BC393D"/>
    <w:rsid w:val="00BE2C17"/>
    <w:rsid w:val="00C03DD6"/>
    <w:rsid w:val="00C073A5"/>
    <w:rsid w:val="00C332FD"/>
    <w:rsid w:val="00C419BD"/>
    <w:rsid w:val="00C660A7"/>
    <w:rsid w:val="00C70F8A"/>
    <w:rsid w:val="00C83E95"/>
    <w:rsid w:val="00C917C0"/>
    <w:rsid w:val="00C918C3"/>
    <w:rsid w:val="00CC5912"/>
    <w:rsid w:val="00CC7483"/>
    <w:rsid w:val="00CD1C97"/>
    <w:rsid w:val="00CE4789"/>
    <w:rsid w:val="00CE78C8"/>
    <w:rsid w:val="00CF4385"/>
    <w:rsid w:val="00D10D20"/>
    <w:rsid w:val="00D155C8"/>
    <w:rsid w:val="00D158DB"/>
    <w:rsid w:val="00D21689"/>
    <w:rsid w:val="00D27BF6"/>
    <w:rsid w:val="00D52659"/>
    <w:rsid w:val="00D62353"/>
    <w:rsid w:val="00D66461"/>
    <w:rsid w:val="00D742D7"/>
    <w:rsid w:val="00D76E47"/>
    <w:rsid w:val="00D84837"/>
    <w:rsid w:val="00D91E89"/>
    <w:rsid w:val="00D95090"/>
    <w:rsid w:val="00DA09AF"/>
    <w:rsid w:val="00DA6CFB"/>
    <w:rsid w:val="00DB0BA1"/>
    <w:rsid w:val="00DB5AE3"/>
    <w:rsid w:val="00DC240B"/>
    <w:rsid w:val="00DE506E"/>
    <w:rsid w:val="00DE67C2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8624A"/>
    <w:rsid w:val="00E8748B"/>
    <w:rsid w:val="00EA1B45"/>
    <w:rsid w:val="00EA6F52"/>
    <w:rsid w:val="00EB46B9"/>
    <w:rsid w:val="00EB7847"/>
    <w:rsid w:val="00EC35B2"/>
    <w:rsid w:val="00ED2D22"/>
    <w:rsid w:val="00ED32A4"/>
    <w:rsid w:val="00EF2541"/>
    <w:rsid w:val="00F21AE0"/>
    <w:rsid w:val="00F22513"/>
    <w:rsid w:val="00FA4685"/>
    <w:rsid w:val="00FA7BEC"/>
    <w:rsid w:val="00FA7FEF"/>
    <w:rsid w:val="00FC0EB3"/>
    <w:rsid w:val="00FC1646"/>
    <w:rsid w:val="00FC75F3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ICSI%20Capital%20market%202015%20(Final).pdf" TargetMode="External"/><Relationship Id="rId13" Type="http://schemas.openxmlformats.org/officeDocument/2006/relationships/hyperlink" Target="https://www.icsi.edu/docs/Website/Mumbai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nmin.nic.in/the_ministry/dept_revenue/Scheme_ALP_InternationalTran21052015.pdf" TargetMode="External"/><Relationship Id="rId12" Type="http://schemas.openxmlformats.org/officeDocument/2006/relationships/hyperlink" Target="https://www.icsi.edu/docs/Website/Guwahati%20-Announcement.pdf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National%20Conference%20on%20Service%20Tax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ib.nic.in/newsite/erelease.aspx?relid=121961" TargetMode="External"/><Relationship Id="rId11" Type="http://schemas.openxmlformats.org/officeDocument/2006/relationships/hyperlink" Target="https://www.icsi.edu/docs/Website/Capital%20Market%20Programme_Kolkata_30.05.2015.pdf" TargetMode="External"/><Relationship Id="rId5" Type="http://schemas.openxmlformats.org/officeDocument/2006/relationships/hyperlink" Target="http://www.sebi.gov.in/cms/sebi_data/attachdocs/1416889450959.pdf" TargetMode="External"/><Relationship Id="rId15" Type="http://schemas.openxmlformats.org/officeDocument/2006/relationships/hyperlink" Target="https://www.icsi.edu/docs/Website/PHD%20Seminar%20on%20Financial%20Risks%20&amp;%20Liability%20Insurance.pdf" TargetMode="External"/><Relationship Id="rId10" Type="http://schemas.openxmlformats.org/officeDocument/2006/relationships/hyperlink" Target="https://www.icsi.edu/docs/Website/Madurai%20-Announcement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Announcement%20of%20Capital%20Market%20Week%20at%20Ahmedabad_with%20Registration%20form.pdf" TargetMode="External"/><Relationship Id="rId14" Type="http://schemas.openxmlformats.org/officeDocument/2006/relationships/hyperlink" Target="https://www.icsi.edu/docs/Website/Emailer_CSact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185</cp:revision>
  <dcterms:created xsi:type="dcterms:W3CDTF">2015-05-05T04:48:00Z</dcterms:created>
  <dcterms:modified xsi:type="dcterms:W3CDTF">2015-05-26T10:22:00Z</dcterms:modified>
</cp:coreProperties>
</file>