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6310FD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</w:pP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CS UPDATE MAY </w:t>
      </w:r>
      <w:r w:rsidR="004E4470"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2</w:t>
      </w:r>
      <w:r w:rsidR="00173D40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2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, 201</w:t>
      </w:r>
      <w:r w:rsidRPr="006310FD"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B702E4" w:rsidRDefault="00484A40" w:rsidP="00B702E4">
      <w:pPr>
        <w:spacing w:before="120" w:after="0"/>
        <w:jc w:val="both"/>
        <w:rPr>
          <w:rFonts w:ascii="SerifaBT-Roman" w:hAnsi="SerifaBT-Roman"/>
          <w:bCs/>
          <w:i/>
          <w:sz w:val="28"/>
          <w:szCs w:val="28"/>
          <w:lang w:val="en-US"/>
        </w:rPr>
      </w:pPr>
      <w:r w:rsidRPr="00B702E4">
        <w:rPr>
          <w:rFonts w:ascii="SerifaBT-Roman" w:hAnsi="SerifaBT-Roman"/>
          <w:bCs/>
          <w:i/>
          <w:sz w:val="28"/>
          <w:szCs w:val="28"/>
          <w:lang w:val="en-US"/>
        </w:rPr>
        <w:t>“</w:t>
      </w:r>
      <w:r w:rsidR="00B702E4" w:rsidRPr="00B702E4">
        <w:rPr>
          <w:rFonts w:ascii="SerifaBT-Roman" w:hAnsi="SerifaBT-Roman"/>
          <w:bCs/>
          <w:i/>
          <w:sz w:val="28"/>
          <w:szCs w:val="28"/>
          <w:lang w:val="en-US"/>
        </w:rPr>
        <w:t>Spread love everywhere you go. Let no one ever come to you without leaving happier.</w:t>
      </w:r>
      <w:r w:rsidRPr="00B702E4">
        <w:rPr>
          <w:rFonts w:ascii="SerifaBT-Roman" w:hAnsi="SerifaBT-Roman"/>
          <w:bCs/>
          <w:i/>
          <w:sz w:val="28"/>
          <w:szCs w:val="28"/>
          <w:lang w:val="en-US"/>
        </w:rPr>
        <w:t>”</w:t>
      </w:r>
    </w:p>
    <w:p w:rsidR="00484A40" w:rsidRPr="00B702E4" w:rsidRDefault="00B702E4" w:rsidP="0021647B">
      <w:pPr>
        <w:pStyle w:val="ListParagraph"/>
        <w:numPr>
          <w:ilvl w:val="0"/>
          <w:numId w:val="2"/>
        </w:numPr>
        <w:spacing w:after="120" w:line="240" w:lineRule="auto"/>
        <w:jc w:val="right"/>
        <w:rPr>
          <w:rFonts w:ascii="SerifaBT-Roman" w:hAnsi="SerifaBT-Roman"/>
          <w:bCs/>
          <w:sz w:val="28"/>
          <w:szCs w:val="28"/>
          <w:lang w:val="en-US"/>
        </w:rPr>
      </w:pPr>
      <w:r w:rsidRPr="00B702E4">
        <w:rPr>
          <w:rFonts w:ascii="SerifaBT-Roman" w:hAnsi="SerifaBT-Roman"/>
          <w:bCs/>
          <w:sz w:val="28"/>
          <w:szCs w:val="28"/>
          <w:lang w:val="en-US"/>
        </w:rPr>
        <w:t>Mother Teresa</w:t>
      </w: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CE78C8" w:rsidRDefault="00173D40" w:rsidP="00173D40">
      <w:pPr>
        <w:spacing w:before="120" w:after="120"/>
        <w:jc w:val="both"/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MCA </w:t>
      </w:r>
      <w:r w:rsidRPr="00173D40">
        <w:rPr>
          <w:rFonts w:ascii="SerifaBT-Roman" w:hAnsi="SerifaBT-Roman"/>
          <w:bCs/>
          <w:sz w:val="32"/>
          <w:szCs w:val="32"/>
          <w:lang w:val="en-US"/>
        </w:rPr>
        <w:t>r</w:t>
      </w:r>
      <w:r>
        <w:rPr>
          <w:rFonts w:ascii="SerifaBT-Roman" w:hAnsi="SerifaBT-Roman"/>
          <w:bCs/>
          <w:sz w:val="32"/>
          <w:szCs w:val="32"/>
          <w:lang w:val="en-US"/>
        </w:rPr>
        <w:t>e</w:t>
      </w:r>
      <w:r w:rsidRPr="00173D40">
        <w:rPr>
          <w:rFonts w:ascii="SerifaBT-Roman" w:hAnsi="SerifaBT-Roman"/>
          <w:bCs/>
          <w:sz w:val="32"/>
          <w:szCs w:val="32"/>
          <w:lang w:val="en-US"/>
        </w:rPr>
        <w:t xml:space="preserve">scinds 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its </w:t>
      </w:r>
      <w:r w:rsidRPr="00173D40">
        <w:rPr>
          <w:rFonts w:ascii="SerifaBT-Roman" w:hAnsi="SerifaBT-Roman"/>
          <w:bCs/>
          <w:sz w:val="32"/>
          <w:szCs w:val="32"/>
          <w:lang w:val="en-US"/>
        </w:rPr>
        <w:t>notifications vide nu</w:t>
      </w:r>
      <w:r>
        <w:rPr>
          <w:rFonts w:ascii="SerifaBT-Roman" w:hAnsi="SerifaBT-Roman"/>
          <w:bCs/>
          <w:sz w:val="32"/>
          <w:szCs w:val="32"/>
          <w:lang w:val="en-US"/>
        </w:rPr>
        <w:t>mber G.S.R 179 (E), dated the 3</w:t>
      </w:r>
      <w:r w:rsidRPr="00173D40">
        <w:rPr>
          <w:rFonts w:ascii="SerifaBT-Roman" w:hAnsi="SerifaBT-Roman"/>
          <w:bCs/>
          <w:sz w:val="32"/>
          <w:szCs w:val="32"/>
          <w:vertAlign w:val="superscript"/>
          <w:lang w:val="en-US"/>
        </w:rPr>
        <w:t>rd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173D40">
        <w:rPr>
          <w:rFonts w:ascii="SerifaBT-Roman" w:hAnsi="SerifaBT-Roman"/>
          <w:bCs/>
          <w:sz w:val="32"/>
          <w:szCs w:val="32"/>
          <w:lang w:val="en-US"/>
        </w:rPr>
        <w:t>March,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173D40">
        <w:rPr>
          <w:rFonts w:ascii="SerifaBT-Roman" w:hAnsi="SerifaBT-Roman"/>
          <w:bCs/>
          <w:sz w:val="32"/>
          <w:szCs w:val="32"/>
          <w:lang w:val="en-US"/>
        </w:rPr>
        <w:t>2011 and G</w:t>
      </w:r>
      <w:r>
        <w:rPr>
          <w:rFonts w:ascii="SerifaBT-Roman" w:hAnsi="SerifaBT-Roman"/>
          <w:bCs/>
          <w:sz w:val="32"/>
          <w:szCs w:val="32"/>
          <w:lang w:val="en-US"/>
        </w:rPr>
        <w:t>.</w:t>
      </w:r>
      <w:r w:rsidRPr="00173D40">
        <w:rPr>
          <w:rFonts w:ascii="SerifaBT-Roman" w:hAnsi="SerifaBT-Roman"/>
          <w:bCs/>
          <w:sz w:val="32"/>
          <w:szCs w:val="32"/>
          <w:lang w:val="en-US"/>
        </w:rPr>
        <w:t>S.R 650 (E), dated the 29th August 2011, with immediate effect, except as respects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173D40">
        <w:rPr>
          <w:rFonts w:ascii="SerifaBT-Roman" w:hAnsi="SerifaBT-Roman"/>
          <w:bCs/>
          <w:sz w:val="32"/>
          <w:szCs w:val="32"/>
          <w:lang w:val="en-US"/>
        </w:rPr>
        <w:t>thin</w:t>
      </w:r>
      <w:r>
        <w:rPr>
          <w:rFonts w:ascii="SerifaBT-Roman" w:hAnsi="SerifaBT-Roman"/>
          <w:bCs/>
          <w:sz w:val="32"/>
          <w:szCs w:val="32"/>
          <w:lang w:val="en-US"/>
        </w:rPr>
        <w:t>k</w:t>
      </w:r>
      <w:r w:rsidRPr="00173D40">
        <w:rPr>
          <w:rFonts w:ascii="SerifaBT-Roman" w:hAnsi="SerifaBT-Roman"/>
          <w:bCs/>
          <w:sz w:val="32"/>
          <w:szCs w:val="32"/>
          <w:lang w:val="en-US"/>
        </w:rPr>
        <w:t>s done or omitted to be done before such rescission.</w:t>
      </w:r>
      <w:r w:rsidR="00990766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53757A"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5" w:history="1">
        <w:r w:rsidR="0053757A" w:rsidRPr="0053757A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FC75F3" w:rsidRDefault="00FC75F3" w:rsidP="00505C2D">
      <w:pPr>
        <w:spacing w:before="120" w:after="120"/>
        <w:jc w:val="both"/>
      </w:pPr>
    </w:p>
    <w:p w:rsidR="00AB4BAE" w:rsidRDefault="00D62353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proofErr w:type="gramStart"/>
      <w:r>
        <w:rPr>
          <w:rFonts w:ascii="SerifaBT-Roman" w:hAnsi="SerifaBT-Roman"/>
          <w:bCs/>
          <w:sz w:val="32"/>
          <w:szCs w:val="32"/>
          <w:lang w:val="en-US"/>
        </w:rPr>
        <w:t xml:space="preserve">RBI circular on </w:t>
      </w:r>
      <w:r w:rsidRPr="00D62353">
        <w:rPr>
          <w:rFonts w:ascii="SerifaBT-Roman" w:hAnsi="SerifaBT-Roman"/>
          <w:bCs/>
          <w:sz w:val="32"/>
          <w:szCs w:val="32"/>
          <w:lang w:val="en-US"/>
        </w:rPr>
        <w:t xml:space="preserve">Modalities for implementation of </w:t>
      </w:r>
      <w:proofErr w:type="spellStart"/>
      <w:r w:rsidRPr="00D62353">
        <w:rPr>
          <w:rFonts w:ascii="SerifaBT-Roman" w:hAnsi="SerifaBT-Roman"/>
          <w:bCs/>
          <w:sz w:val="32"/>
          <w:szCs w:val="32"/>
          <w:lang w:val="en-US"/>
        </w:rPr>
        <w:t>Atal</w:t>
      </w:r>
      <w:proofErr w:type="spellEnd"/>
      <w:r w:rsidRPr="00D62353">
        <w:rPr>
          <w:rFonts w:ascii="SerifaBT-Roman" w:hAnsi="SerifaBT-Roman"/>
          <w:bCs/>
          <w:sz w:val="32"/>
          <w:szCs w:val="32"/>
          <w:lang w:val="en-US"/>
        </w:rPr>
        <w:t xml:space="preserve"> Pension </w:t>
      </w:r>
      <w:proofErr w:type="spellStart"/>
      <w:r w:rsidRPr="00D62353">
        <w:rPr>
          <w:rFonts w:ascii="SerifaBT-Roman" w:hAnsi="SerifaBT-Roman"/>
          <w:bCs/>
          <w:sz w:val="32"/>
          <w:szCs w:val="32"/>
          <w:lang w:val="en-US"/>
        </w:rPr>
        <w:t>Yojan</w:t>
      </w:r>
      <w:r>
        <w:rPr>
          <w:rFonts w:ascii="SerifaBT-Roman" w:hAnsi="SerifaBT-Roman"/>
          <w:bCs/>
          <w:sz w:val="32"/>
          <w:szCs w:val="32"/>
          <w:lang w:val="en-US"/>
        </w:rPr>
        <w:t>a</w:t>
      </w:r>
      <w:proofErr w:type="spellEnd"/>
      <w:r>
        <w:rPr>
          <w:rFonts w:ascii="SerifaBT-Roman" w:hAnsi="SerifaBT-Roman"/>
          <w:bCs/>
          <w:sz w:val="32"/>
          <w:szCs w:val="32"/>
          <w:lang w:val="en-US"/>
        </w:rPr>
        <w:t>.</w:t>
      </w:r>
      <w:proofErr w:type="gramEnd"/>
      <w:r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6" w:history="1">
        <w:r w:rsidRPr="00D62353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520A6E" w:rsidRDefault="00520A6E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F30A5" w:rsidRDefault="004F30A5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RBI has </w:t>
      </w:r>
      <w:r w:rsidRPr="004F30A5">
        <w:rPr>
          <w:rFonts w:ascii="SerifaBT-Roman" w:hAnsi="SerifaBT-Roman"/>
          <w:bCs/>
          <w:sz w:val="32"/>
          <w:szCs w:val="32"/>
          <w:lang w:val="en-US"/>
        </w:rPr>
        <w:t>decided that NBFCs may also use the historical spot gold price data publicly disseminated by a commodity exchange regulated by the Forward Markets Commission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4F30A5">
        <w:rPr>
          <w:rFonts w:ascii="SerifaBT-Roman" w:hAnsi="SerifaBT-Roman"/>
          <w:bCs/>
          <w:sz w:val="32"/>
          <w:szCs w:val="32"/>
          <w:lang w:val="en-US"/>
        </w:rPr>
        <w:t xml:space="preserve">Lending against security of single product - Gold </w:t>
      </w:r>
      <w:proofErr w:type="spellStart"/>
      <w:r w:rsidRPr="004F30A5">
        <w:rPr>
          <w:rFonts w:ascii="SerifaBT-Roman" w:hAnsi="SerifaBT-Roman"/>
          <w:bCs/>
          <w:sz w:val="32"/>
          <w:szCs w:val="32"/>
          <w:lang w:val="en-US"/>
        </w:rPr>
        <w:t>Jewellery</w:t>
      </w:r>
      <w:proofErr w:type="spellEnd"/>
      <w:r w:rsidRPr="004F30A5">
        <w:rPr>
          <w:rFonts w:ascii="SerifaBT-Roman" w:hAnsi="SerifaBT-Roman"/>
          <w:bCs/>
          <w:sz w:val="32"/>
          <w:szCs w:val="32"/>
          <w:lang w:val="en-US"/>
        </w:rPr>
        <w:t>.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7" w:history="1">
        <w:r w:rsidRPr="004F30A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EB46B9" w:rsidRDefault="00EB46B9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2D4EB7" w:rsidRDefault="002D4EB7" w:rsidP="00FC75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Views/Suggestions Solicited</w:t>
      </w:r>
    </w:p>
    <w:p w:rsidR="00004DF0" w:rsidRDefault="00004DF0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>Views /suggestions solicited on</w:t>
      </w:r>
      <w:r w:rsidRPr="00004DF0">
        <w:rPr>
          <w:rFonts w:ascii="SerifaBT-Roman" w:hAnsi="SerifaBT-Roman"/>
          <w:bCs/>
          <w:sz w:val="32"/>
          <w:szCs w:val="32"/>
          <w:lang w:val="en-US"/>
        </w:rPr>
        <w:t xml:space="preserve"> Draft scheme of the proposed rules for computation of Arm’s Length Price (ALP) of an International Transaction or Specified Domestic Transaction undertaken on or after 01.04.2014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8" w:history="1">
        <w:r w:rsidRPr="00004DF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004DF0" w:rsidRDefault="00004DF0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035125" w:rsidRDefault="00035125" w:rsidP="00484A40">
      <w:pPr>
        <w:spacing w:before="120" w:after="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>Views /suggestions solicited on</w:t>
      </w:r>
      <w:r w:rsidRPr="00E14127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Exposure Draft on </w:t>
      </w:r>
      <w:r w:rsidRPr="00035125">
        <w:rPr>
          <w:rFonts w:ascii="SerifaBT-Roman" w:hAnsi="SerifaBT-Roman"/>
          <w:bCs/>
          <w:sz w:val="32"/>
          <w:szCs w:val="32"/>
          <w:lang w:val="en-US"/>
        </w:rPr>
        <w:t>IRDAI (Surrender Value) Regulations, 2015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9" w:history="1">
        <w:r w:rsidRPr="0003512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D21689" w:rsidRDefault="00D21689" w:rsidP="00484A40">
      <w:pPr>
        <w:spacing w:before="120" w:after="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D21689" w:rsidRDefault="00D21689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>Views /suggestions solicited on</w:t>
      </w:r>
      <w:r w:rsidRPr="00E14127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Exposure Draft on </w:t>
      </w:r>
      <w:r w:rsidRPr="00D21689">
        <w:rPr>
          <w:rFonts w:ascii="SerifaBT-Roman" w:hAnsi="SerifaBT-Roman"/>
          <w:bCs/>
          <w:sz w:val="32"/>
          <w:szCs w:val="32"/>
          <w:lang w:val="en-US"/>
        </w:rPr>
        <w:t>IRDAI (Minimum limits for annuities and other benefits) Regulations, 2015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0" w:history="1">
        <w:r w:rsidRPr="00D21689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235F64" w:rsidRDefault="00235F64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2D4EB7" w:rsidRDefault="002D4EB7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r w:rsidR="00735E41" w:rsidRPr="00735E41">
        <w:rPr>
          <w:rFonts w:ascii="SerifaBT-Roman" w:hAnsi="SerifaBT-Roman"/>
          <w:b/>
          <w:bCs/>
          <w:i/>
          <w:iCs/>
          <w:sz w:val="32"/>
          <w:szCs w:val="32"/>
        </w:rPr>
        <w:t xml:space="preserve">Homo </w:t>
      </w:r>
      <w:proofErr w:type="spellStart"/>
      <w:r w:rsidR="00735E41" w:rsidRPr="00735E41">
        <w:rPr>
          <w:rFonts w:ascii="SerifaBT-Roman" w:hAnsi="SerifaBT-Roman"/>
          <w:b/>
          <w:bCs/>
          <w:i/>
          <w:iCs/>
          <w:sz w:val="32"/>
          <w:szCs w:val="32"/>
        </w:rPr>
        <w:t>vocabulum</w:t>
      </w:r>
      <w:proofErr w:type="spellEnd"/>
      <w:r w:rsidR="00735E41" w:rsidRPr="00735E41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proofErr w:type="gramStart"/>
      <w:r w:rsidR="00735E41" w:rsidRPr="00735E41">
        <w:rPr>
          <w:rFonts w:ascii="SerifaBT-Roman" w:hAnsi="SerifaBT-Roman"/>
          <w:b/>
          <w:bCs/>
          <w:i/>
          <w:iCs/>
          <w:sz w:val="32"/>
          <w:szCs w:val="32"/>
        </w:rPr>
        <w:t>est</w:t>
      </w:r>
      <w:proofErr w:type="spellEnd"/>
      <w:proofErr w:type="gramEnd"/>
      <w:r w:rsidR="00735E41" w:rsidRPr="00735E41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735E41" w:rsidRPr="00735E41">
        <w:rPr>
          <w:rFonts w:ascii="SerifaBT-Roman" w:hAnsi="SerifaBT-Roman"/>
          <w:b/>
          <w:bCs/>
          <w:i/>
          <w:iCs/>
          <w:sz w:val="32"/>
          <w:szCs w:val="32"/>
        </w:rPr>
        <w:t>naturae</w:t>
      </w:r>
      <w:proofErr w:type="spellEnd"/>
      <w:r w:rsidR="00735E41" w:rsidRPr="00735E41">
        <w:rPr>
          <w:rFonts w:ascii="SerifaBT-Roman" w:hAnsi="SerifaBT-Roman"/>
          <w:b/>
          <w:bCs/>
          <w:i/>
          <w:iCs/>
          <w:sz w:val="32"/>
          <w:szCs w:val="32"/>
        </w:rPr>
        <w:t xml:space="preserve">; persona </w:t>
      </w:r>
      <w:proofErr w:type="spellStart"/>
      <w:r w:rsidR="00735E41" w:rsidRPr="00735E41">
        <w:rPr>
          <w:rFonts w:ascii="SerifaBT-Roman" w:hAnsi="SerifaBT-Roman"/>
          <w:b/>
          <w:bCs/>
          <w:i/>
          <w:iCs/>
          <w:sz w:val="32"/>
          <w:szCs w:val="32"/>
        </w:rPr>
        <w:t>juris</w:t>
      </w:r>
      <w:proofErr w:type="spellEnd"/>
      <w:r w:rsidR="00735E41" w:rsidRPr="00735E41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735E41" w:rsidRPr="00735E41">
        <w:rPr>
          <w:rFonts w:ascii="SerifaBT-Roman" w:hAnsi="SerifaBT-Roman"/>
          <w:b/>
          <w:bCs/>
          <w:i/>
          <w:iCs/>
          <w:sz w:val="32"/>
          <w:szCs w:val="32"/>
        </w:rPr>
        <w:t>civilis</w:t>
      </w:r>
      <w:proofErr w:type="spell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DF3B13" w:rsidRDefault="00735E41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  <w:r w:rsidRPr="00735E41">
        <w:rPr>
          <w:rFonts w:ascii="SerifaBT-Roman" w:hAnsi="SerifaBT-Roman"/>
          <w:bCs/>
          <w:iCs/>
          <w:sz w:val="32"/>
          <w:szCs w:val="32"/>
        </w:rPr>
        <w:t>Man is a term of nature, person of the civil law.</w:t>
      </w:r>
    </w:p>
    <w:p w:rsidR="00811E50" w:rsidRDefault="00811E50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2D4EB7" w:rsidRPr="00DF3B13" w:rsidRDefault="002D4EB7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0A4C15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0A4C15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11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4204C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51662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="004204C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891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4204C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85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4204C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4204C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82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4204CA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5</w:t>
            </w:r>
            <w:r w:rsidR="000A4C15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0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4204C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4204CA">
              <w:rPr>
                <w:rFonts w:ascii="SerifaBT-Roman" w:hAnsi="SerifaBT-Roman"/>
                <w:bCs/>
                <w:sz w:val="28"/>
                <w:szCs w:val="28"/>
              </w:rPr>
              <w:t>4</w:t>
            </w:r>
            <w:r w:rsidR="000A4C15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="004204CA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4204CA">
              <w:rPr>
                <w:rFonts w:ascii="SerifaBT-Roman" w:hAnsi="SerifaBT-Roman"/>
                <w:bCs/>
                <w:sz w:val="28"/>
                <w:szCs w:val="28"/>
              </w:rPr>
              <w:t>9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4204CA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4204CA">
              <w:rPr>
                <w:rFonts w:ascii="SerifaBT-Roman" w:hAnsi="SerifaBT-Roman"/>
                <w:bCs/>
                <w:sz w:val="28"/>
                <w:szCs w:val="28"/>
              </w:rPr>
              <w:t>12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4204CA">
              <w:rPr>
                <w:rFonts w:ascii="SerifaBT-Roman" w:hAnsi="SerifaBT-Roman"/>
                <w:bCs/>
                <w:sz w:val="28"/>
                <w:szCs w:val="28"/>
              </w:rPr>
              <w:t>90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4204C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0C62C9">
              <w:rPr>
                <w:rFonts w:ascii="SerifaBT-Roman" w:hAnsi="SerifaBT-Roman"/>
                <w:bCs/>
                <w:sz w:val="28"/>
                <w:szCs w:val="28"/>
              </w:rPr>
              <w:t>7</w:t>
            </w:r>
            <w:r w:rsidR="004204CA">
              <w:rPr>
                <w:rFonts w:ascii="SerifaBT-Roman" w:hAnsi="SerifaBT-Roman"/>
                <w:bCs/>
                <w:sz w:val="28"/>
                <w:szCs w:val="28"/>
              </w:rPr>
              <w:t>185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0A4C15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4204CA">
              <w:rPr>
                <w:rFonts w:ascii="SerifaBT-Roman" w:hAnsi="SerifaBT-Roman"/>
                <w:bCs/>
                <w:sz w:val="28"/>
                <w:szCs w:val="28"/>
              </w:rPr>
              <w:t>77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4204C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0A4C15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4204CA">
              <w:rPr>
                <w:rFonts w:ascii="SerifaBT-Roman" w:hAnsi="SerifaBT-Roman"/>
                <w:bCs/>
                <w:sz w:val="28"/>
                <w:szCs w:val="28"/>
              </w:rPr>
              <w:t>05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520A6E" w:rsidRDefault="00520A6E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2D4EB7" w:rsidRDefault="002D4EB7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4B13C5" w:rsidRDefault="00D80CCF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hyperlink r:id="rId11" w:tgtFrame="blank" w:history="1">
        <w:r w:rsidR="00351682" w:rsidRPr="008A7360">
          <w:rPr>
            <w:rFonts w:ascii="SerifaBT-Roman" w:hAnsi="SerifaBT-Roman"/>
            <w:bCs/>
            <w:sz w:val="32"/>
            <w:szCs w:val="32"/>
            <w:lang w:val="en-US"/>
          </w:rPr>
          <w:t>ICSI celebrates Capital Markets Week during May 25-31, 2015</w:t>
        </w:r>
      </w:hyperlink>
      <w:r w:rsidR="009D50B1">
        <w:t xml:space="preserve"> </w:t>
      </w:r>
      <w:r w:rsidR="009D50B1" w:rsidRPr="009D50B1">
        <w:rPr>
          <w:rFonts w:ascii="SerifaBT-Roman" w:hAnsi="SerifaBT-Roman"/>
          <w:bCs/>
          <w:sz w:val="32"/>
          <w:szCs w:val="32"/>
          <w:lang w:val="en-US"/>
        </w:rPr>
        <w:t>as follows:</w:t>
      </w:r>
      <w:r w:rsidR="00351682" w:rsidRPr="008A7360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p w:rsidR="004B13C5" w:rsidRPr="004B13C5" w:rsidRDefault="004B13C5" w:rsidP="00A70C8C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Mega </w:t>
      </w:r>
      <w:proofErr w:type="spellStart"/>
      <w:r w:rsidRPr="004B13C5">
        <w:rPr>
          <w:rFonts w:ascii="SerifaBT-Roman" w:hAnsi="SerifaBT-Roman"/>
          <w:bCs/>
          <w:sz w:val="32"/>
          <w:szCs w:val="32"/>
          <w:lang w:val="en-US"/>
        </w:rPr>
        <w:t>Programme</w:t>
      </w:r>
      <w:proofErr w:type="spellEnd"/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 at </w:t>
      </w:r>
      <w:r>
        <w:rPr>
          <w:rFonts w:ascii="SerifaBT-Roman" w:hAnsi="SerifaBT-Roman"/>
          <w:bCs/>
          <w:sz w:val="32"/>
          <w:szCs w:val="32"/>
          <w:lang w:val="en-US"/>
        </w:rPr>
        <w:t>Jodhpur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 on May </w:t>
      </w:r>
      <w:r>
        <w:rPr>
          <w:rFonts w:ascii="SerifaBT-Roman" w:hAnsi="SerifaBT-Roman"/>
          <w:bCs/>
          <w:sz w:val="32"/>
          <w:szCs w:val="32"/>
          <w:lang w:val="en-US"/>
        </w:rPr>
        <w:t>25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, 2015. For details </w:t>
      </w:r>
      <w:hyperlink r:id="rId12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B13C5" w:rsidRPr="004B13C5" w:rsidRDefault="004B13C5" w:rsidP="00A70C8C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Mega </w:t>
      </w:r>
      <w:proofErr w:type="spellStart"/>
      <w:r w:rsidRPr="004B13C5">
        <w:rPr>
          <w:rFonts w:ascii="SerifaBT-Roman" w:hAnsi="SerifaBT-Roman"/>
          <w:bCs/>
          <w:sz w:val="32"/>
          <w:szCs w:val="32"/>
          <w:lang w:val="en-US"/>
        </w:rPr>
        <w:t>Programme</w:t>
      </w:r>
      <w:proofErr w:type="spellEnd"/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 at 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Chennai 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on May </w:t>
      </w:r>
      <w:r>
        <w:rPr>
          <w:rFonts w:ascii="SerifaBT-Roman" w:hAnsi="SerifaBT-Roman"/>
          <w:bCs/>
          <w:sz w:val="32"/>
          <w:szCs w:val="32"/>
          <w:lang w:val="en-US"/>
        </w:rPr>
        <w:t>28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, 2015. For details </w:t>
      </w:r>
      <w:hyperlink r:id="rId13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B13C5" w:rsidRPr="004B13C5" w:rsidRDefault="004B13C5" w:rsidP="00A70C8C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Mega </w:t>
      </w:r>
      <w:proofErr w:type="spellStart"/>
      <w:r w:rsidRPr="004B13C5">
        <w:rPr>
          <w:rFonts w:ascii="SerifaBT-Roman" w:hAnsi="SerifaBT-Roman"/>
          <w:bCs/>
          <w:sz w:val="32"/>
          <w:szCs w:val="32"/>
          <w:lang w:val="en-US"/>
        </w:rPr>
        <w:t>Programme</w:t>
      </w:r>
      <w:proofErr w:type="spellEnd"/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 at Ahmedabad on May 30, 2015. For details </w:t>
      </w:r>
      <w:hyperlink r:id="rId14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B13C5" w:rsidRPr="004B13C5" w:rsidRDefault="004B13C5" w:rsidP="00A70C8C">
      <w:pPr>
        <w:pStyle w:val="ListParagraph"/>
        <w:numPr>
          <w:ilvl w:val="0"/>
          <w:numId w:val="5"/>
        </w:num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Mega </w:t>
      </w:r>
      <w:proofErr w:type="spellStart"/>
      <w:r w:rsidRPr="004B13C5">
        <w:rPr>
          <w:rFonts w:ascii="SerifaBT-Roman" w:hAnsi="SerifaBT-Roman"/>
          <w:bCs/>
          <w:sz w:val="32"/>
          <w:szCs w:val="32"/>
          <w:lang w:val="en-US"/>
        </w:rPr>
        <w:t>Programme</w:t>
      </w:r>
      <w:proofErr w:type="spellEnd"/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 at 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Mumbai 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on </w:t>
      </w:r>
      <w:r>
        <w:rPr>
          <w:rFonts w:ascii="SerifaBT-Roman" w:hAnsi="SerifaBT-Roman"/>
          <w:bCs/>
          <w:sz w:val="32"/>
          <w:szCs w:val="32"/>
          <w:lang w:val="en-US"/>
        </w:rPr>
        <w:t>June 2</w:t>
      </w:r>
      <w:r w:rsidRPr="004B13C5">
        <w:rPr>
          <w:rFonts w:ascii="SerifaBT-Roman" w:hAnsi="SerifaBT-Roman"/>
          <w:bCs/>
          <w:sz w:val="32"/>
          <w:szCs w:val="32"/>
          <w:lang w:val="en-US"/>
        </w:rPr>
        <w:t xml:space="preserve">, 2015. For details </w:t>
      </w:r>
      <w:hyperlink r:id="rId15" w:history="1">
        <w:r w:rsidRPr="004B13C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B13C5" w:rsidRPr="004B13C5" w:rsidRDefault="004B13C5" w:rsidP="004B13C5">
      <w:pPr>
        <w:pStyle w:val="ListParagraph"/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9829DD" w:rsidRPr="008A7360" w:rsidRDefault="009829DD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9829DD">
        <w:rPr>
          <w:rFonts w:ascii="SerifaBT-Roman" w:hAnsi="SerifaBT-Roman"/>
          <w:sz w:val="32"/>
          <w:szCs w:val="32"/>
        </w:rPr>
        <w:t>Seminar on Financial Risks &amp; Liability Insurance on June 3, 2015 at PHD House</w:t>
      </w:r>
      <w:r>
        <w:rPr>
          <w:rFonts w:ascii="SerifaBT-Roman" w:hAnsi="SerifaBT-Roman"/>
          <w:sz w:val="32"/>
          <w:szCs w:val="32"/>
        </w:rPr>
        <w:t>, New Delhi.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6" w:history="1">
        <w:r w:rsidRPr="009829DD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DB0BA1" w:rsidRPr="00DF3B13" w:rsidRDefault="00DB0BA1" w:rsidP="00484A40">
      <w:pPr>
        <w:pBdr>
          <w:bottom w:val="single" w:sz="6" w:space="1" w:color="auto"/>
        </w:pBdr>
        <w:jc w:val="both"/>
        <w:rPr>
          <w:rFonts w:ascii="SerifaBT-Roman" w:hAnsi="SerifaBT-Roman"/>
          <w:color w:val="FF0000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7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33686"/>
    <w:rsid w:val="00035125"/>
    <w:rsid w:val="00047A86"/>
    <w:rsid w:val="00052F74"/>
    <w:rsid w:val="00075A35"/>
    <w:rsid w:val="000848BE"/>
    <w:rsid w:val="000855E9"/>
    <w:rsid w:val="000A466C"/>
    <w:rsid w:val="000A4C15"/>
    <w:rsid w:val="000C62C9"/>
    <w:rsid w:val="000F04AD"/>
    <w:rsid w:val="001064E4"/>
    <w:rsid w:val="00143024"/>
    <w:rsid w:val="00153BE5"/>
    <w:rsid w:val="00173D40"/>
    <w:rsid w:val="00175CB1"/>
    <w:rsid w:val="0019004C"/>
    <w:rsid w:val="00192708"/>
    <w:rsid w:val="001C0FA6"/>
    <w:rsid w:val="001C2399"/>
    <w:rsid w:val="001D7F92"/>
    <w:rsid w:val="001D7FF5"/>
    <w:rsid w:val="001F06B1"/>
    <w:rsid w:val="0020118C"/>
    <w:rsid w:val="0021647B"/>
    <w:rsid w:val="00224DF9"/>
    <w:rsid w:val="00232D2E"/>
    <w:rsid w:val="00235F64"/>
    <w:rsid w:val="00253B95"/>
    <w:rsid w:val="002665A4"/>
    <w:rsid w:val="00276F45"/>
    <w:rsid w:val="002C65E0"/>
    <w:rsid w:val="002D4EB7"/>
    <w:rsid w:val="002E7295"/>
    <w:rsid w:val="002E72FB"/>
    <w:rsid w:val="0030479B"/>
    <w:rsid w:val="003051C8"/>
    <w:rsid w:val="00335C9B"/>
    <w:rsid w:val="00351682"/>
    <w:rsid w:val="00351EB8"/>
    <w:rsid w:val="0036140E"/>
    <w:rsid w:val="00365F70"/>
    <w:rsid w:val="003A60C0"/>
    <w:rsid w:val="003A70BB"/>
    <w:rsid w:val="003B3387"/>
    <w:rsid w:val="003B5CC9"/>
    <w:rsid w:val="003F4D2B"/>
    <w:rsid w:val="003F70CF"/>
    <w:rsid w:val="004204CA"/>
    <w:rsid w:val="00436B38"/>
    <w:rsid w:val="0044058B"/>
    <w:rsid w:val="00445A21"/>
    <w:rsid w:val="00465540"/>
    <w:rsid w:val="00475098"/>
    <w:rsid w:val="00484A40"/>
    <w:rsid w:val="004B13C5"/>
    <w:rsid w:val="004D1170"/>
    <w:rsid w:val="004D2CE4"/>
    <w:rsid w:val="004E1ED4"/>
    <w:rsid w:val="004E4470"/>
    <w:rsid w:val="004F30A5"/>
    <w:rsid w:val="004F7C59"/>
    <w:rsid w:val="0050093A"/>
    <w:rsid w:val="00505C2D"/>
    <w:rsid w:val="00516628"/>
    <w:rsid w:val="00520A6E"/>
    <w:rsid w:val="00521C6C"/>
    <w:rsid w:val="00523626"/>
    <w:rsid w:val="005312C4"/>
    <w:rsid w:val="00535ABA"/>
    <w:rsid w:val="0053757A"/>
    <w:rsid w:val="005539A4"/>
    <w:rsid w:val="00582996"/>
    <w:rsid w:val="005863ED"/>
    <w:rsid w:val="005A1EF2"/>
    <w:rsid w:val="005C34D8"/>
    <w:rsid w:val="005D300D"/>
    <w:rsid w:val="005D7DC4"/>
    <w:rsid w:val="005E1D8C"/>
    <w:rsid w:val="005E4CE1"/>
    <w:rsid w:val="00610570"/>
    <w:rsid w:val="0061775E"/>
    <w:rsid w:val="006310FD"/>
    <w:rsid w:val="0063789B"/>
    <w:rsid w:val="006751D4"/>
    <w:rsid w:val="006D7B4F"/>
    <w:rsid w:val="00715499"/>
    <w:rsid w:val="007339BA"/>
    <w:rsid w:val="00735E41"/>
    <w:rsid w:val="0074118E"/>
    <w:rsid w:val="007411EC"/>
    <w:rsid w:val="00744241"/>
    <w:rsid w:val="007564DC"/>
    <w:rsid w:val="00771F9E"/>
    <w:rsid w:val="00777D3E"/>
    <w:rsid w:val="00781F5A"/>
    <w:rsid w:val="007C2539"/>
    <w:rsid w:val="007D01CC"/>
    <w:rsid w:val="00811E50"/>
    <w:rsid w:val="00817DFF"/>
    <w:rsid w:val="00834A3C"/>
    <w:rsid w:val="0089582A"/>
    <w:rsid w:val="008A7360"/>
    <w:rsid w:val="008B57A8"/>
    <w:rsid w:val="008B7226"/>
    <w:rsid w:val="008C5879"/>
    <w:rsid w:val="008C6F04"/>
    <w:rsid w:val="008D0A12"/>
    <w:rsid w:val="008E505F"/>
    <w:rsid w:val="008F17DC"/>
    <w:rsid w:val="008F2E9D"/>
    <w:rsid w:val="008F365C"/>
    <w:rsid w:val="008F43D8"/>
    <w:rsid w:val="008F67CF"/>
    <w:rsid w:val="00954853"/>
    <w:rsid w:val="009829DD"/>
    <w:rsid w:val="00990766"/>
    <w:rsid w:val="00997CD4"/>
    <w:rsid w:val="009B1946"/>
    <w:rsid w:val="009C4B7E"/>
    <w:rsid w:val="009D50B1"/>
    <w:rsid w:val="009E7E62"/>
    <w:rsid w:val="009F2B46"/>
    <w:rsid w:val="009F7F6E"/>
    <w:rsid w:val="00A044FE"/>
    <w:rsid w:val="00A44826"/>
    <w:rsid w:val="00A63666"/>
    <w:rsid w:val="00A70C8C"/>
    <w:rsid w:val="00A817A4"/>
    <w:rsid w:val="00AA6F8D"/>
    <w:rsid w:val="00AB0915"/>
    <w:rsid w:val="00AB4BAE"/>
    <w:rsid w:val="00AC629D"/>
    <w:rsid w:val="00AD32DF"/>
    <w:rsid w:val="00AD4CD6"/>
    <w:rsid w:val="00AD6166"/>
    <w:rsid w:val="00AD6C95"/>
    <w:rsid w:val="00AE062B"/>
    <w:rsid w:val="00AF2413"/>
    <w:rsid w:val="00B05ECC"/>
    <w:rsid w:val="00B11BF9"/>
    <w:rsid w:val="00B21664"/>
    <w:rsid w:val="00B351D4"/>
    <w:rsid w:val="00B44077"/>
    <w:rsid w:val="00B624D4"/>
    <w:rsid w:val="00B702E4"/>
    <w:rsid w:val="00B70EAC"/>
    <w:rsid w:val="00BB4C09"/>
    <w:rsid w:val="00BC1D96"/>
    <w:rsid w:val="00BC393D"/>
    <w:rsid w:val="00BE2C17"/>
    <w:rsid w:val="00C073A5"/>
    <w:rsid w:val="00C332FD"/>
    <w:rsid w:val="00C419BD"/>
    <w:rsid w:val="00C83E95"/>
    <w:rsid w:val="00C917C0"/>
    <w:rsid w:val="00C918C3"/>
    <w:rsid w:val="00CD1C97"/>
    <w:rsid w:val="00CE4789"/>
    <w:rsid w:val="00CE78C8"/>
    <w:rsid w:val="00CF4385"/>
    <w:rsid w:val="00D10D20"/>
    <w:rsid w:val="00D158DB"/>
    <w:rsid w:val="00D21689"/>
    <w:rsid w:val="00D27BF6"/>
    <w:rsid w:val="00D52659"/>
    <w:rsid w:val="00D62353"/>
    <w:rsid w:val="00D66461"/>
    <w:rsid w:val="00D742D7"/>
    <w:rsid w:val="00D76E47"/>
    <w:rsid w:val="00D80CCF"/>
    <w:rsid w:val="00D84837"/>
    <w:rsid w:val="00D91E89"/>
    <w:rsid w:val="00D95090"/>
    <w:rsid w:val="00D955B0"/>
    <w:rsid w:val="00DA09AF"/>
    <w:rsid w:val="00DA6CFB"/>
    <w:rsid w:val="00DB0BA1"/>
    <w:rsid w:val="00DB5AE3"/>
    <w:rsid w:val="00DC240B"/>
    <w:rsid w:val="00DE506E"/>
    <w:rsid w:val="00DE67C2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422AD"/>
    <w:rsid w:val="00E43F0B"/>
    <w:rsid w:val="00E454C3"/>
    <w:rsid w:val="00E56D24"/>
    <w:rsid w:val="00E57CDB"/>
    <w:rsid w:val="00E8624A"/>
    <w:rsid w:val="00E8748B"/>
    <w:rsid w:val="00EA1B45"/>
    <w:rsid w:val="00EA6F52"/>
    <w:rsid w:val="00EB46B9"/>
    <w:rsid w:val="00EB7847"/>
    <w:rsid w:val="00EC35B2"/>
    <w:rsid w:val="00ED2D22"/>
    <w:rsid w:val="00ED32A4"/>
    <w:rsid w:val="00EF2541"/>
    <w:rsid w:val="00F21AE0"/>
    <w:rsid w:val="00F22513"/>
    <w:rsid w:val="00FA4685"/>
    <w:rsid w:val="00FA7BEC"/>
    <w:rsid w:val="00FA7FEF"/>
    <w:rsid w:val="00FC1646"/>
    <w:rsid w:val="00FC75F3"/>
    <w:rsid w:val="00FE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min.nic.in/the_ministry/dept_revenue/Scheme_ALP_InternationalTran21052015.pdf" TargetMode="External"/><Relationship Id="rId13" Type="http://schemas.openxmlformats.org/officeDocument/2006/relationships/hyperlink" Target="https://www.icsi.edu/docs/Website/ICSI%20Capital%20market%202015%20(Final)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bidocs.rbi.org.in/rdocs/notification/PDFs/CR605158B3498FEDE49918B947151805E3CCC.PDF" TargetMode="External"/><Relationship Id="rId12" Type="http://schemas.openxmlformats.org/officeDocument/2006/relationships/hyperlink" Target="https://www.icsi.edu/docs/Website/Announcement%20-Jodhpur%20_4_.pdf" TargetMode="External"/><Relationship Id="rId17" Type="http://schemas.openxmlformats.org/officeDocument/2006/relationships/hyperlink" Target="mailto:csupdate@icsi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si.edu/docs/Website/PHD%20Seminar%20on%20Financial%20Risks%20&amp;%20Liability%20Insuranc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bidocs.rbi.org.in/rdocs/notification/PDFs/PC609CCEEFEC67F504D03A595CD2343D669E1.PDF" TargetMode="External"/><Relationship Id="rId11" Type="http://schemas.openxmlformats.org/officeDocument/2006/relationships/hyperlink" Target="https://www.icsi.edu/docs/Website/Announcement%20(2).pdf" TargetMode="External"/><Relationship Id="rId5" Type="http://schemas.openxmlformats.org/officeDocument/2006/relationships/hyperlink" Target="http://mca.gov.in/Ministry/pdf/Notification_21052015.pdf" TargetMode="External"/><Relationship Id="rId15" Type="http://schemas.openxmlformats.org/officeDocument/2006/relationships/hyperlink" Target="https://www.icsi.edu/docs/Website/Mumbai.pdf" TargetMode="External"/><Relationship Id="rId10" Type="http://schemas.openxmlformats.org/officeDocument/2006/relationships/hyperlink" Target="https://www.irda.gov.in/ADMINCMS/cms/frmGeneral_Layout.aspx?page=PageNo251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rda.gov.in/ADMINCMS/cms/frmGeneral_Layout.aspx?page=PageNo2512" TargetMode="External"/><Relationship Id="rId14" Type="http://schemas.openxmlformats.org/officeDocument/2006/relationships/hyperlink" Target="https://www.icsi.edu/docs/Website/Announcement%20of%20Capital%20Market%20Week%20at%20Ahmedabad_with%20Registration%20form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156</cp:revision>
  <dcterms:created xsi:type="dcterms:W3CDTF">2015-05-05T04:48:00Z</dcterms:created>
  <dcterms:modified xsi:type="dcterms:W3CDTF">2015-05-22T09:27:00Z</dcterms:modified>
</cp:coreProperties>
</file>