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143024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</w:pP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 xml:space="preserve">CS UPDATE MAY </w:t>
      </w:r>
      <w:r w:rsidR="004E4470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20</w:t>
      </w: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, 201</w:t>
      </w:r>
      <w:r w:rsidRPr="00143024"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D27BF6" w:rsidRDefault="00484A40" w:rsidP="00003DCE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4D2CE4">
        <w:rPr>
          <w:rFonts w:ascii="SerifaBT-Roman" w:hAnsi="SerifaBT-Roman"/>
          <w:bCs/>
          <w:i/>
          <w:sz w:val="32"/>
          <w:szCs w:val="32"/>
          <w:lang w:val="en-US"/>
        </w:rPr>
        <w:t>You have to dream before your dreams can come true</w:t>
      </w:r>
      <w:r w:rsidR="00D27BF6" w:rsidRPr="00D27BF6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143024" w:rsidRDefault="00CD1C97" w:rsidP="0021647B">
      <w:pPr>
        <w:pStyle w:val="ListParagraph"/>
        <w:numPr>
          <w:ilvl w:val="0"/>
          <w:numId w:val="2"/>
        </w:numPr>
        <w:spacing w:after="120" w:line="240" w:lineRule="auto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A</w:t>
      </w:r>
      <w:r w:rsidR="004D2CE4">
        <w:rPr>
          <w:rFonts w:ascii="SerifaBT-Roman" w:hAnsi="SerifaBT-Roman"/>
          <w:bCs/>
          <w:sz w:val="32"/>
          <w:szCs w:val="32"/>
          <w:lang w:val="en-US"/>
        </w:rPr>
        <w:t xml:space="preserve">. P. J. Abdul </w:t>
      </w:r>
      <w:proofErr w:type="spellStart"/>
      <w:r w:rsidR="004D2CE4">
        <w:rPr>
          <w:rFonts w:ascii="SerifaBT-Roman" w:hAnsi="SerifaBT-Roman"/>
          <w:bCs/>
          <w:sz w:val="32"/>
          <w:szCs w:val="32"/>
          <w:lang w:val="en-US"/>
        </w:rPr>
        <w:t>Kalam</w:t>
      </w:r>
      <w:proofErr w:type="spellEnd"/>
    </w:p>
    <w:p w:rsidR="008B57A8" w:rsidRDefault="008B57A8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CE78C8" w:rsidRDefault="00990766" w:rsidP="00505C2D">
      <w:pPr>
        <w:spacing w:before="120" w:after="120"/>
        <w:jc w:val="both"/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CBDT has approved a simplified procedure for transit of relief cargo to Nepal, supplied by foreign </w:t>
      </w:r>
      <w:r>
        <w:rPr>
          <w:rFonts w:ascii="SerifaBT-Roman" w:hAnsi="SerifaBT-Roman" w:hint="eastAsia"/>
          <w:bCs/>
          <w:sz w:val="32"/>
          <w:szCs w:val="32"/>
          <w:lang w:val="en-US"/>
        </w:rPr>
        <w:t>governments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and multi-lateral relief agencies such as UNWFP, Red Cross etc. </w:t>
      </w:r>
      <w:r w:rsidR="0053757A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53757A" w:rsidRPr="0053757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C75F3" w:rsidRDefault="00FC75F3" w:rsidP="00505C2D">
      <w:pPr>
        <w:spacing w:before="120" w:after="120"/>
        <w:jc w:val="both"/>
      </w:pPr>
    </w:p>
    <w:p w:rsidR="00AB4BAE" w:rsidRDefault="00AB4BA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FC75F3" w:rsidRDefault="00AB4BA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AB4BAE">
        <w:rPr>
          <w:rFonts w:ascii="SerifaBT-Roman" w:hAnsi="SerifaBT-Roman"/>
          <w:bCs/>
          <w:sz w:val="32"/>
          <w:szCs w:val="32"/>
          <w:lang w:val="en-US"/>
        </w:rPr>
        <w:t>New service tax rate of 14% to come into effect from June 1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6" w:history="1">
        <w:r w:rsidRPr="00AB4BA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B4BAE" w:rsidRDefault="00AB4BA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B4BAE" w:rsidRDefault="00AB4BA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B4BAE" w:rsidRDefault="00AB4BAE" w:rsidP="00FC75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Govt. </w:t>
      </w:r>
      <w:r w:rsidRPr="00AB4BAE">
        <w:rPr>
          <w:rFonts w:ascii="SerifaBT-Roman" w:hAnsi="SerifaBT-Roman"/>
          <w:bCs/>
          <w:sz w:val="32"/>
          <w:szCs w:val="32"/>
          <w:lang w:val="en-US"/>
        </w:rPr>
        <w:t xml:space="preserve">exempts taxable services provided under the Power System Development Fund Scheme of the Ministry of Power, from the whole of the service tax </w:t>
      </w:r>
      <w:proofErr w:type="spellStart"/>
      <w:r w:rsidRPr="00AB4BAE">
        <w:rPr>
          <w:rFonts w:ascii="SerifaBT-Roman" w:hAnsi="SerifaBT-Roman"/>
          <w:bCs/>
          <w:sz w:val="32"/>
          <w:szCs w:val="32"/>
          <w:lang w:val="en-US"/>
        </w:rPr>
        <w:t>leviable</w:t>
      </w:r>
      <w:proofErr w:type="spellEnd"/>
      <w:r w:rsidRPr="00AB4BAE">
        <w:rPr>
          <w:rFonts w:ascii="SerifaBT-Roman" w:hAnsi="SerifaBT-Roman"/>
          <w:bCs/>
          <w:sz w:val="32"/>
          <w:szCs w:val="32"/>
          <w:lang w:val="en-US"/>
        </w:rPr>
        <w:t xml:space="preserve"> thereon under section 66B of the said Act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7" w:history="1">
        <w:r w:rsidRPr="00AB4BA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B4BAE" w:rsidRDefault="00AB4BA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B4BAE" w:rsidRDefault="00AB4BA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FC75F3" w:rsidRDefault="00FC75F3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World Economic Forum released </w:t>
      </w:r>
      <w:r w:rsidRPr="00FC75F3">
        <w:rPr>
          <w:rFonts w:ascii="SerifaBT-Roman" w:hAnsi="SerifaBT-Roman"/>
          <w:bCs/>
          <w:sz w:val="32"/>
          <w:szCs w:val="32"/>
          <w:lang w:val="en-US"/>
        </w:rPr>
        <w:t>The Role of Financial Services in Society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: </w:t>
      </w:r>
      <w:r w:rsidRPr="00FC75F3">
        <w:rPr>
          <w:rFonts w:ascii="SerifaBT-Roman" w:hAnsi="SerifaBT-Roman"/>
          <w:bCs/>
          <w:sz w:val="32"/>
          <w:szCs w:val="32"/>
          <w:lang w:val="en-US"/>
        </w:rPr>
        <w:t xml:space="preserve">Statement in support of </w:t>
      </w:r>
      <w:proofErr w:type="spellStart"/>
      <w:r w:rsidRPr="00FC75F3">
        <w:rPr>
          <w:rFonts w:ascii="SerifaBT-Roman" w:hAnsi="SerifaBT-Roman"/>
          <w:bCs/>
          <w:sz w:val="32"/>
          <w:szCs w:val="32"/>
          <w:lang w:val="en-US"/>
        </w:rPr>
        <w:t>macroprudential</w:t>
      </w:r>
      <w:proofErr w:type="spellEnd"/>
      <w:r w:rsidRPr="00FC75F3">
        <w:rPr>
          <w:rFonts w:ascii="SerifaBT-Roman" w:hAnsi="SerifaBT-Roman"/>
          <w:bCs/>
          <w:sz w:val="32"/>
          <w:szCs w:val="32"/>
          <w:lang w:val="en-US"/>
        </w:rPr>
        <w:t xml:space="preserve"> policies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Pr="00FC75F3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53757A" w:rsidRDefault="0053757A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523626" w:rsidRDefault="00523626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523626" w:rsidRDefault="00523626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International </w:t>
      </w:r>
      <w:proofErr w:type="spellStart"/>
      <w:r>
        <w:rPr>
          <w:rFonts w:ascii="SerifaBT-Roman" w:hAnsi="SerifaBT-Roman"/>
          <w:bCs/>
          <w:sz w:val="32"/>
          <w:szCs w:val="32"/>
          <w:lang w:val="en-US"/>
        </w:rPr>
        <w:t>Labour</w:t>
      </w:r>
      <w:proofErr w:type="spellEnd"/>
      <w:r>
        <w:rPr>
          <w:rFonts w:ascii="SerifaBT-Roman" w:hAnsi="SerifaBT-Roman"/>
          <w:bCs/>
          <w:sz w:val="32"/>
          <w:szCs w:val="32"/>
          <w:lang w:val="en-US"/>
        </w:rPr>
        <w:t xml:space="preserve"> Organization released World Employment Social Outlook: The Changing Nature of Jobs-2015. For details </w:t>
      </w:r>
      <w:hyperlink r:id="rId9" w:history="1">
        <w:r w:rsidRPr="0052362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276F45" w:rsidRDefault="00276F45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523626" w:rsidRDefault="00523626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lastRenderedPageBreak/>
        <w:t>Views/Suggestions Solicited</w:t>
      </w:r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Draft Bill to amend the Micro, Small and Medium Enterprises Development Act, 2006. For details </w:t>
      </w:r>
      <w:hyperlink r:id="rId10" w:history="1">
        <w:r w:rsidRPr="00075A3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11E50" w:rsidRDefault="00811E5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E57CDB" w:rsidRPr="00351682" w:rsidRDefault="00E57CDB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</w:t>
      </w:r>
      <w:r w:rsidRPr="00E57CDB">
        <w:rPr>
          <w:rFonts w:ascii="SerifaBT-Roman" w:hAnsi="SerifaBT-Roman"/>
          <w:bCs/>
          <w:sz w:val="32"/>
          <w:szCs w:val="32"/>
          <w:lang w:val="en-US"/>
        </w:rPr>
        <w:t>Draft Notification for Coal based Thermal Power Plant</w:t>
      </w:r>
      <w:r w:rsidR="00DC240B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1" w:history="1">
        <w:r w:rsidR="00DC240B" w:rsidRPr="00DC240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</w:t>
        </w:r>
        <w:r w:rsidR="00DC240B" w:rsidRPr="00DC240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</w:t>
        </w:r>
        <w:r w:rsidR="00DC240B" w:rsidRPr="00DC240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here</w:t>
        </w:r>
      </w:hyperlink>
    </w:p>
    <w:p w:rsidR="00484A40" w:rsidRDefault="00484A40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44826" w:rsidRDefault="00A44826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9F2B46" w:rsidRDefault="009F2B46" w:rsidP="009F2B46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</w:t>
      </w:r>
      <w:r w:rsidRPr="00E57CDB">
        <w:rPr>
          <w:rFonts w:ascii="SerifaBT-Roman" w:hAnsi="SerifaBT-Roman"/>
          <w:bCs/>
          <w:sz w:val="32"/>
          <w:szCs w:val="32"/>
          <w:lang w:val="en-US"/>
        </w:rPr>
        <w:t>Draft</w:t>
      </w:r>
      <w:r w:rsidRPr="009F2B46">
        <w:rPr>
          <w:rFonts w:ascii="SerifaBT-Roman" w:hAnsi="SerifaBT-Roman"/>
          <w:bCs/>
          <w:sz w:val="32"/>
          <w:szCs w:val="32"/>
          <w:lang w:val="en-US"/>
        </w:rPr>
        <w:t xml:space="preserve"> IRDAI (Obligations of Insurers to Rural and Social Sectors) Regulations,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2" w:history="1">
        <w:r w:rsidRPr="009F2B4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Pr="009F2B4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Pr="009F2B4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9F2B46" w:rsidRDefault="009F2B46" w:rsidP="009F2B46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B57A8" w:rsidRPr="00351682" w:rsidRDefault="008B57A8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0F04AD" w:rsidRPr="000F04AD">
        <w:rPr>
          <w:rFonts w:ascii="SerifaBT-Roman" w:hAnsi="SerifaBT-Roman"/>
          <w:b/>
          <w:bCs/>
          <w:i/>
          <w:iCs/>
          <w:sz w:val="32"/>
          <w:szCs w:val="32"/>
        </w:rPr>
        <w:t>Frustra</w:t>
      </w:r>
      <w:proofErr w:type="spellEnd"/>
      <w:r w:rsidR="000F04AD" w:rsidRPr="000F04AD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0F04AD" w:rsidRPr="000F04AD">
        <w:rPr>
          <w:rFonts w:ascii="SerifaBT-Roman" w:hAnsi="SerifaBT-Roman"/>
          <w:b/>
          <w:bCs/>
          <w:i/>
          <w:iCs/>
          <w:sz w:val="32"/>
          <w:szCs w:val="32"/>
        </w:rPr>
        <w:t>probatur</w:t>
      </w:r>
      <w:proofErr w:type="spellEnd"/>
      <w:r w:rsidR="000F04AD" w:rsidRPr="000F04AD">
        <w:rPr>
          <w:rFonts w:ascii="SerifaBT-Roman" w:hAnsi="SerifaBT-Roman"/>
          <w:b/>
          <w:bCs/>
          <w:i/>
          <w:iCs/>
          <w:sz w:val="32"/>
          <w:szCs w:val="32"/>
        </w:rPr>
        <w:t xml:space="preserve"> quod </w:t>
      </w:r>
      <w:proofErr w:type="spellStart"/>
      <w:r w:rsidR="000F04AD" w:rsidRPr="000F04AD">
        <w:rPr>
          <w:rFonts w:ascii="SerifaBT-Roman" w:hAnsi="SerifaBT-Roman"/>
          <w:b/>
          <w:bCs/>
          <w:i/>
          <w:iCs/>
          <w:sz w:val="32"/>
          <w:szCs w:val="32"/>
        </w:rPr>
        <w:t>probatum</w:t>
      </w:r>
      <w:proofErr w:type="spellEnd"/>
      <w:r w:rsidR="000F04AD" w:rsidRPr="000F04AD">
        <w:rPr>
          <w:rFonts w:ascii="SerifaBT-Roman" w:hAnsi="SerifaBT-Roman"/>
          <w:b/>
          <w:bCs/>
          <w:i/>
          <w:iCs/>
          <w:sz w:val="32"/>
          <w:szCs w:val="32"/>
        </w:rPr>
        <w:t xml:space="preserve"> non </w:t>
      </w:r>
      <w:proofErr w:type="spellStart"/>
      <w:r w:rsidR="000F04AD" w:rsidRPr="000F04AD">
        <w:rPr>
          <w:rFonts w:ascii="SerifaBT-Roman" w:hAnsi="SerifaBT-Roman"/>
          <w:b/>
          <w:bCs/>
          <w:i/>
          <w:iCs/>
          <w:sz w:val="32"/>
          <w:szCs w:val="32"/>
        </w:rPr>
        <w:t>relevat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0F04AD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0F04AD">
        <w:rPr>
          <w:rFonts w:ascii="SerifaBT-Roman" w:hAnsi="SerifaBT-Roman"/>
          <w:bCs/>
          <w:iCs/>
          <w:sz w:val="32"/>
          <w:szCs w:val="32"/>
        </w:rPr>
        <w:t>That is proved in vain which when proved is not relevant.</w:t>
      </w:r>
    </w:p>
    <w:p w:rsidR="008B7226" w:rsidRDefault="008B7226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B57A8" w:rsidRDefault="008B57A8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11E50" w:rsidRPr="00DF3B13" w:rsidRDefault="00811E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A636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9907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</w:t>
      </w:r>
      <w:r w:rsidR="00A636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9907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9907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870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9907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61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9907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9907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225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</w:t>
            </w:r>
            <w:r w:rsidR="009907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9907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426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+ 61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9907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290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327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9907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04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D2D22" w:rsidRDefault="00ED2D22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11E50" w:rsidRDefault="00811E50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351682" w:rsidRPr="003A70BB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3A70BB">
        <w:rPr>
          <w:rFonts w:ascii="SerifaBT-Roman" w:hAnsi="SerifaBT-Roman"/>
          <w:bCs/>
          <w:sz w:val="32"/>
          <w:szCs w:val="32"/>
          <w:lang w:val="en-US"/>
        </w:rPr>
        <w:t>16</w:t>
      </w:r>
      <w:r w:rsidRPr="003A70BB">
        <w:rPr>
          <w:rFonts w:ascii="SerifaBT-Roman" w:hAnsi="SerifaBT-Roman"/>
          <w:bCs/>
          <w:sz w:val="32"/>
          <w:szCs w:val="32"/>
          <w:vertAlign w:val="superscript"/>
          <w:lang w:val="en-US"/>
        </w:rPr>
        <w:t>th</w:t>
      </w:r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National Conference of Practicing Company Secretaries on August 13-14, 2015 at Kochi.</w:t>
      </w:r>
      <w:proofErr w:type="gramEnd"/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The details of the Conference would be hosted in the ICSI website in due course.</w:t>
      </w:r>
    </w:p>
    <w:p w:rsidR="00DB0BA1" w:rsidRDefault="00DB0BA1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75098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75098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475098">
        <w:rPr>
          <w:rFonts w:ascii="SerifaBT-Roman" w:hAnsi="SerifaBT-Roman"/>
          <w:sz w:val="32"/>
          <w:szCs w:val="32"/>
        </w:rPr>
        <w:lastRenderedPageBreak/>
        <w:t>Workshop on Provisions relating to KMP &amp; Managerial Remuneration on 22</w:t>
      </w:r>
      <w:r w:rsidRPr="00475098">
        <w:rPr>
          <w:rFonts w:ascii="SerifaBT-Roman" w:hAnsi="SerifaBT-Roman"/>
          <w:sz w:val="32"/>
          <w:szCs w:val="32"/>
          <w:vertAlign w:val="superscript"/>
        </w:rPr>
        <w:t>nd</w:t>
      </w:r>
      <w:r>
        <w:rPr>
          <w:rFonts w:ascii="SerifaBT-Roman" w:hAnsi="SerifaBT-Roman"/>
          <w:sz w:val="32"/>
          <w:szCs w:val="32"/>
        </w:rPr>
        <w:t xml:space="preserve"> </w:t>
      </w:r>
      <w:r w:rsidRPr="00475098">
        <w:rPr>
          <w:rFonts w:ascii="SerifaBT-Roman" w:hAnsi="SerifaBT-Roman"/>
          <w:sz w:val="32"/>
          <w:szCs w:val="32"/>
        </w:rPr>
        <w:t>May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3" w:history="1">
        <w:r w:rsidRPr="00475098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811E50" w:rsidRDefault="00811E50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75098" w:rsidRPr="008A7360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351682" w:rsidRDefault="001C2399" w:rsidP="00351682">
      <w:pPr>
        <w:spacing w:before="120" w:after="120"/>
        <w:jc w:val="both"/>
      </w:pPr>
      <w:hyperlink r:id="rId14" w:tgtFrame="blank" w:history="1">
        <w:r w:rsidR="00351682" w:rsidRPr="008A7360">
          <w:rPr>
            <w:rFonts w:ascii="SerifaBT-Roman" w:hAnsi="SerifaBT-Roman"/>
            <w:bCs/>
            <w:sz w:val="32"/>
            <w:szCs w:val="32"/>
            <w:lang w:val="en-US"/>
          </w:rPr>
          <w:t>ICSI celebrates Capital Markets Week during May 25-31, 2015</w:t>
        </w:r>
      </w:hyperlink>
      <w:r w:rsidR="00351682" w:rsidRPr="008A7360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5" w:history="1">
        <w:r w:rsidR="00351682"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829DD" w:rsidRDefault="009829DD" w:rsidP="00351682">
      <w:pPr>
        <w:spacing w:before="120" w:after="120"/>
        <w:jc w:val="both"/>
      </w:pPr>
    </w:p>
    <w:p w:rsidR="00EA1B45" w:rsidRDefault="00EA1B45" w:rsidP="00351682">
      <w:pPr>
        <w:spacing w:before="120" w:after="120"/>
        <w:jc w:val="both"/>
      </w:pPr>
    </w:p>
    <w:p w:rsidR="00EA1B45" w:rsidRDefault="00EA1B45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EA1B45">
        <w:rPr>
          <w:rFonts w:ascii="SerifaBT-Roman" w:hAnsi="SerifaBT-Roman"/>
          <w:bCs/>
          <w:sz w:val="32"/>
          <w:szCs w:val="32"/>
          <w:lang w:val="en-US"/>
        </w:rPr>
        <w:t>Capital Markets Week during May 25-31, 2015</w:t>
      </w:r>
      <w:r w:rsidR="00834A3C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EA1B45">
        <w:rPr>
          <w:rFonts w:ascii="SerifaBT-Roman" w:hAnsi="SerifaBT-Roman"/>
          <w:bCs/>
          <w:sz w:val="32"/>
          <w:szCs w:val="32"/>
          <w:lang w:val="en-US"/>
        </w:rPr>
        <w:t xml:space="preserve">- Mega </w:t>
      </w:r>
      <w:proofErr w:type="spellStart"/>
      <w:r w:rsidRPr="00EA1B4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EA1B45">
        <w:rPr>
          <w:rFonts w:ascii="SerifaBT-Roman" w:hAnsi="SerifaBT-Roman"/>
          <w:bCs/>
          <w:sz w:val="32"/>
          <w:szCs w:val="32"/>
          <w:lang w:val="en-US"/>
        </w:rPr>
        <w:t xml:space="preserve"> at Ahmedabad on May 30,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6" w:history="1">
        <w:r w:rsidRPr="00FA7BEC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A1B45" w:rsidRPr="00EA1B45" w:rsidRDefault="00EA1B45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83E95" w:rsidRDefault="00C83E95" w:rsidP="00351682">
      <w:pPr>
        <w:spacing w:before="120" w:after="120"/>
        <w:jc w:val="both"/>
      </w:pPr>
    </w:p>
    <w:p w:rsidR="009829DD" w:rsidRPr="008A7360" w:rsidRDefault="009829DD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7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8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3DCE"/>
    <w:rsid w:val="0001421C"/>
    <w:rsid w:val="000179B6"/>
    <w:rsid w:val="00047A86"/>
    <w:rsid w:val="00052F74"/>
    <w:rsid w:val="00075A35"/>
    <w:rsid w:val="000848BE"/>
    <w:rsid w:val="000C62C9"/>
    <w:rsid w:val="000F04AD"/>
    <w:rsid w:val="001064E4"/>
    <w:rsid w:val="00143024"/>
    <w:rsid w:val="00192708"/>
    <w:rsid w:val="001C0FA6"/>
    <w:rsid w:val="001C2399"/>
    <w:rsid w:val="001D7F92"/>
    <w:rsid w:val="001D7FF5"/>
    <w:rsid w:val="001F06B1"/>
    <w:rsid w:val="0020118C"/>
    <w:rsid w:val="0021647B"/>
    <w:rsid w:val="00224DF9"/>
    <w:rsid w:val="00232D2E"/>
    <w:rsid w:val="00253B95"/>
    <w:rsid w:val="002665A4"/>
    <w:rsid w:val="00276F45"/>
    <w:rsid w:val="002C65E0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A70BB"/>
    <w:rsid w:val="003B3387"/>
    <w:rsid w:val="003F70CF"/>
    <w:rsid w:val="0044058B"/>
    <w:rsid w:val="00445A21"/>
    <w:rsid w:val="00475098"/>
    <w:rsid w:val="00484A40"/>
    <w:rsid w:val="004D1170"/>
    <w:rsid w:val="004D2CE4"/>
    <w:rsid w:val="004E1ED4"/>
    <w:rsid w:val="004E4470"/>
    <w:rsid w:val="004F7C59"/>
    <w:rsid w:val="0050093A"/>
    <w:rsid w:val="00505C2D"/>
    <w:rsid w:val="00516628"/>
    <w:rsid w:val="00521C6C"/>
    <w:rsid w:val="00523626"/>
    <w:rsid w:val="005312C4"/>
    <w:rsid w:val="0053757A"/>
    <w:rsid w:val="005539A4"/>
    <w:rsid w:val="00582996"/>
    <w:rsid w:val="005863ED"/>
    <w:rsid w:val="005C34D8"/>
    <w:rsid w:val="005D7DC4"/>
    <w:rsid w:val="005E1D8C"/>
    <w:rsid w:val="005E4CE1"/>
    <w:rsid w:val="0061775E"/>
    <w:rsid w:val="0063789B"/>
    <w:rsid w:val="006751D4"/>
    <w:rsid w:val="006D7B4F"/>
    <w:rsid w:val="00715499"/>
    <w:rsid w:val="007339BA"/>
    <w:rsid w:val="0074118E"/>
    <w:rsid w:val="007411EC"/>
    <w:rsid w:val="00744241"/>
    <w:rsid w:val="007564DC"/>
    <w:rsid w:val="00771F9E"/>
    <w:rsid w:val="00777D3E"/>
    <w:rsid w:val="007D01CC"/>
    <w:rsid w:val="00811E50"/>
    <w:rsid w:val="00817DFF"/>
    <w:rsid w:val="00834A3C"/>
    <w:rsid w:val="0089582A"/>
    <w:rsid w:val="008A7360"/>
    <w:rsid w:val="008B57A8"/>
    <w:rsid w:val="008B7226"/>
    <w:rsid w:val="008C5879"/>
    <w:rsid w:val="008C6F04"/>
    <w:rsid w:val="008D0A12"/>
    <w:rsid w:val="008E505F"/>
    <w:rsid w:val="008F17DC"/>
    <w:rsid w:val="008F365C"/>
    <w:rsid w:val="008F43D8"/>
    <w:rsid w:val="008F67CF"/>
    <w:rsid w:val="009829DD"/>
    <w:rsid w:val="00990766"/>
    <w:rsid w:val="009B1946"/>
    <w:rsid w:val="009C4B7E"/>
    <w:rsid w:val="009E7E62"/>
    <w:rsid w:val="009F2B46"/>
    <w:rsid w:val="009F7F6E"/>
    <w:rsid w:val="00A044FE"/>
    <w:rsid w:val="00A44826"/>
    <w:rsid w:val="00A63666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21664"/>
    <w:rsid w:val="00B44077"/>
    <w:rsid w:val="00B624D4"/>
    <w:rsid w:val="00B70EAC"/>
    <w:rsid w:val="00BC1D96"/>
    <w:rsid w:val="00BC393D"/>
    <w:rsid w:val="00BE2C17"/>
    <w:rsid w:val="00C073A5"/>
    <w:rsid w:val="00C332FD"/>
    <w:rsid w:val="00C419BD"/>
    <w:rsid w:val="00C83E95"/>
    <w:rsid w:val="00C917C0"/>
    <w:rsid w:val="00C918C3"/>
    <w:rsid w:val="00CD1C97"/>
    <w:rsid w:val="00CE4789"/>
    <w:rsid w:val="00CE78C8"/>
    <w:rsid w:val="00D10D20"/>
    <w:rsid w:val="00D158DB"/>
    <w:rsid w:val="00D27BF6"/>
    <w:rsid w:val="00D52659"/>
    <w:rsid w:val="00D66461"/>
    <w:rsid w:val="00D742D7"/>
    <w:rsid w:val="00D76E47"/>
    <w:rsid w:val="00D91E89"/>
    <w:rsid w:val="00DA09AF"/>
    <w:rsid w:val="00DB0BA1"/>
    <w:rsid w:val="00DC240B"/>
    <w:rsid w:val="00DE506E"/>
    <w:rsid w:val="00DE67C2"/>
    <w:rsid w:val="00DF3B13"/>
    <w:rsid w:val="00DF463A"/>
    <w:rsid w:val="00DF50A9"/>
    <w:rsid w:val="00DF66A1"/>
    <w:rsid w:val="00E03722"/>
    <w:rsid w:val="00E23605"/>
    <w:rsid w:val="00E24950"/>
    <w:rsid w:val="00E251F8"/>
    <w:rsid w:val="00E422AD"/>
    <w:rsid w:val="00E43F0B"/>
    <w:rsid w:val="00E454C3"/>
    <w:rsid w:val="00E56D24"/>
    <w:rsid w:val="00E57CDB"/>
    <w:rsid w:val="00E8624A"/>
    <w:rsid w:val="00E8748B"/>
    <w:rsid w:val="00EA1B45"/>
    <w:rsid w:val="00EA6F52"/>
    <w:rsid w:val="00EB7847"/>
    <w:rsid w:val="00EC35B2"/>
    <w:rsid w:val="00ED2D22"/>
    <w:rsid w:val="00ED32A4"/>
    <w:rsid w:val="00EF2541"/>
    <w:rsid w:val="00F21AE0"/>
    <w:rsid w:val="00FA4685"/>
    <w:rsid w:val="00FA7BEC"/>
    <w:rsid w:val="00FA7FEF"/>
    <w:rsid w:val="00FC1646"/>
    <w:rsid w:val="00FC75F3"/>
    <w:rsid w:val="00FE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weforum.org/docs/WEF_The_Role_of_Financial_Services_in_Society_report_2015.pdf" TargetMode="External"/><Relationship Id="rId13" Type="http://schemas.openxmlformats.org/officeDocument/2006/relationships/hyperlink" Target="https://www.icsi.edu/docs/Website/EMailer%20%20-%20Workshop%20on%20KMP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vicetax.gov.in/notifications/notfns-2015/st17-2015.pdf" TargetMode="External"/><Relationship Id="rId12" Type="http://schemas.openxmlformats.org/officeDocument/2006/relationships/hyperlink" Target="https://www.irda.gov.in/ADMINCMS/cms/frmGeneral_Layout.aspx?page=PageNo2509" TargetMode="External"/><Relationship Id="rId17" Type="http://schemas.openxmlformats.org/officeDocument/2006/relationships/hyperlink" Target="https://www.icsi.edu/docs/Website/PHD%20Seminar%20on%20Financial%20Risks%20&amp;%20Liability%20Insuranc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Announcement%20of%20Capital%20Market%20Week%20at%20Ahmedabad_with%20Registration%20form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ervicetax.gov.in/notifications/notfns-2015/st16-2015.pdf" TargetMode="External"/><Relationship Id="rId11" Type="http://schemas.openxmlformats.org/officeDocument/2006/relationships/hyperlink" Target="http://envfor.nic.in/sites/default/files/draft%20Notification%20forinviting%20the%20public%20comments%20for%20the%20Coal%20BTPP.pdf" TargetMode="External"/><Relationship Id="rId5" Type="http://schemas.openxmlformats.org/officeDocument/2006/relationships/hyperlink" Target="http://cbec.gov.in/customs/cs-circulars/cs-circ15/circ-16-2015cs.pdf" TargetMode="External"/><Relationship Id="rId15" Type="http://schemas.openxmlformats.org/officeDocument/2006/relationships/hyperlink" Target="https://www.icsi.edu/docs/Website/Announcement%20(2).pdf" TargetMode="External"/><Relationship Id="rId10" Type="http://schemas.openxmlformats.org/officeDocument/2006/relationships/hyperlink" Target="http://msme.gov.in/WriteReadData/Whatsnew/Revival_and_Exit_of_MSME_Annex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lo.org/wcmsp5/groups/public/---dgreports/---dcomm/---publ/documents/publication/wcms_368626.pdf" TargetMode="External"/><Relationship Id="rId14" Type="http://schemas.openxmlformats.org/officeDocument/2006/relationships/hyperlink" Target="https://www.icsi.edu/docs/Website/Announcement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117</cp:revision>
  <dcterms:created xsi:type="dcterms:W3CDTF">2015-05-05T04:48:00Z</dcterms:created>
  <dcterms:modified xsi:type="dcterms:W3CDTF">2015-05-20T04:26:00Z</dcterms:modified>
</cp:coreProperties>
</file>