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40" w:rsidRPr="00143024" w:rsidRDefault="00484A40" w:rsidP="00484A40">
      <w:pPr>
        <w:spacing w:after="120"/>
        <w:jc w:val="center"/>
        <w:rPr>
          <w:rFonts w:ascii="SerifaBT-Roman" w:hAnsi="SerifaBT-Roman"/>
          <w:b/>
          <w:bCs/>
          <w:iCs/>
          <w:color w:val="0F243E" w:themeColor="text2" w:themeShade="80"/>
          <w:sz w:val="84"/>
          <w:szCs w:val="84"/>
          <w:lang w:val="en-US"/>
        </w:rPr>
      </w:pPr>
      <w:r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 xml:space="preserve">CS UPDATE MAY </w:t>
      </w:r>
      <w:r w:rsidR="008C6F04"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1</w:t>
      </w:r>
      <w:r w:rsidR="003A70BB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2</w:t>
      </w:r>
      <w:r w:rsidRPr="00143024">
        <w:rPr>
          <w:rFonts w:ascii="SerifaBT-Roman" w:eastAsia="Calibri" w:hAnsi="SerifaBT-Roman" w:cs="Times New Roman"/>
          <w:b/>
          <w:bCs/>
          <w:iCs/>
          <w:color w:val="0F243E" w:themeColor="text2" w:themeShade="80"/>
          <w:sz w:val="84"/>
          <w:szCs w:val="84"/>
          <w:lang w:val="en-US"/>
        </w:rPr>
        <w:t>, 201</w:t>
      </w:r>
      <w:r w:rsidRPr="00143024">
        <w:rPr>
          <w:rFonts w:ascii="SerifaBT-Roman" w:hAnsi="SerifaBT-Roman"/>
          <w:b/>
          <w:bCs/>
          <w:iCs/>
          <w:color w:val="0F243E" w:themeColor="text2" w:themeShade="80"/>
          <w:sz w:val="84"/>
          <w:szCs w:val="84"/>
          <w:lang w:val="en-US"/>
        </w:rPr>
        <w:t>5</w:t>
      </w:r>
    </w:p>
    <w:p w:rsidR="00484A40" w:rsidRPr="00DF3B13" w:rsidRDefault="00484A40" w:rsidP="00484A40">
      <w:pPr>
        <w:spacing w:before="24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Quote of the Day </w:t>
      </w:r>
    </w:p>
    <w:p w:rsidR="00484A40" w:rsidRPr="00DF3B13" w:rsidRDefault="00484A40" w:rsidP="00B11BF9">
      <w:pPr>
        <w:spacing w:before="120" w:after="0"/>
        <w:jc w:val="both"/>
        <w:rPr>
          <w:rFonts w:ascii="SerifaBT-Roman" w:hAnsi="SerifaBT-Roman"/>
          <w:bCs/>
          <w:i/>
          <w:sz w:val="32"/>
          <w:szCs w:val="32"/>
          <w:lang w:val="en-US"/>
        </w:rPr>
      </w:pPr>
      <w:r w:rsidRPr="00DF3B13">
        <w:rPr>
          <w:rFonts w:ascii="SerifaBT-Roman" w:hAnsi="SerifaBT-Roman"/>
          <w:bCs/>
          <w:i/>
          <w:sz w:val="32"/>
          <w:szCs w:val="32"/>
          <w:lang w:val="en-US"/>
        </w:rPr>
        <w:t>“</w:t>
      </w:r>
      <w:r w:rsidR="00FA4685">
        <w:rPr>
          <w:rFonts w:ascii="SerifaBT-Roman" w:hAnsi="SerifaBT-Roman"/>
          <w:bCs/>
          <w:i/>
          <w:sz w:val="32"/>
          <w:szCs w:val="32"/>
          <w:lang w:val="en-US"/>
        </w:rPr>
        <w:t>The first step in the evolution of ethics is a sense of solidarity with other human beings</w:t>
      </w:r>
      <w:r w:rsidR="00DF463A">
        <w:rPr>
          <w:rFonts w:ascii="SerifaBT-Roman" w:hAnsi="SerifaBT-Roman"/>
          <w:bCs/>
          <w:i/>
          <w:sz w:val="32"/>
          <w:szCs w:val="32"/>
          <w:lang w:val="en-US"/>
        </w:rPr>
        <w:t>.</w:t>
      </w:r>
      <w:r w:rsidRPr="00DF3B13">
        <w:rPr>
          <w:rFonts w:ascii="SerifaBT-Roman" w:hAnsi="SerifaBT-Roman"/>
          <w:bCs/>
          <w:i/>
          <w:sz w:val="32"/>
          <w:szCs w:val="32"/>
          <w:lang w:val="en-US"/>
        </w:rPr>
        <w:t>”</w:t>
      </w:r>
    </w:p>
    <w:p w:rsidR="00484A40" w:rsidRPr="00143024" w:rsidRDefault="00FA4685" w:rsidP="00B11BF9">
      <w:pPr>
        <w:pStyle w:val="ListParagraph"/>
        <w:numPr>
          <w:ilvl w:val="0"/>
          <w:numId w:val="2"/>
        </w:numPr>
        <w:spacing w:after="120"/>
        <w:jc w:val="right"/>
        <w:rPr>
          <w:rFonts w:ascii="SerifaBT-Roman" w:hAnsi="SerifaBT-Roman"/>
          <w:bCs/>
          <w:sz w:val="32"/>
          <w:szCs w:val="32"/>
          <w:lang w:val="en-US"/>
        </w:rPr>
      </w:pPr>
      <w:r>
        <w:rPr>
          <w:rFonts w:ascii="SerifaBT-Roman" w:hAnsi="SerifaBT-Roman"/>
          <w:bCs/>
          <w:sz w:val="32"/>
          <w:szCs w:val="32"/>
          <w:lang w:val="en-US"/>
        </w:rPr>
        <w:t>Albert Schweitzer</w:t>
      </w:r>
    </w:p>
    <w:p w:rsidR="002C65E0" w:rsidRDefault="002C65E0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A70BB" w:rsidRDefault="003A70BB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Regulatory Update</w:t>
      </w:r>
    </w:p>
    <w:p w:rsidR="003A70BB" w:rsidRPr="003A70BB" w:rsidRDefault="003A70BB" w:rsidP="003A70BB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RBI advises Banks to appoint Internal Ombudsman. For details </w:t>
      </w:r>
      <w:hyperlink r:id="rId5" w:history="1">
        <w:r w:rsidRPr="003A70BB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3A70BB" w:rsidRDefault="003A70BB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51682" w:rsidRDefault="00351682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A70BB" w:rsidRDefault="003A70BB" w:rsidP="003A70BB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SEBI </w:t>
      </w:r>
      <w:r w:rsidR="008F43D8">
        <w:rPr>
          <w:rFonts w:ascii="SerifaBT-Roman" w:hAnsi="SerifaBT-Roman"/>
          <w:bCs/>
          <w:sz w:val="32"/>
          <w:szCs w:val="32"/>
          <w:lang w:val="en-US"/>
        </w:rPr>
        <w:t xml:space="preserve">has issued a </w:t>
      </w:r>
      <w:r w:rsidRPr="003A70BB">
        <w:rPr>
          <w:rFonts w:ascii="SerifaBT-Roman" w:hAnsi="SerifaBT-Roman"/>
          <w:bCs/>
          <w:sz w:val="32"/>
          <w:szCs w:val="32"/>
          <w:lang w:val="en-US"/>
        </w:rPr>
        <w:t>circular on Disclosures under SEBI (Prohibition of Insider Trading) Regulations, 2015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6" w:history="1">
        <w:r w:rsidRPr="003A70BB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3A70BB" w:rsidRDefault="003A70BB" w:rsidP="003A70BB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</w:p>
    <w:p w:rsidR="00351682" w:rsidRDefault="00351682" w:rsidP="003A70BB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</w:p>
    <w:p w:rsidR="003A70BB" w:rsidRPr="0036140E" w:rsidRDefault="00047A86" w:rsidP="003A70BB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  <w:r w:rsidRPr="00047A86">
        <w:rPr>
          <w:rFonts w:ascii="SerifaBT-Roman" w:hAnsi="SerifaBT-Roman"/>
          <w:bCs/>
          <w:sz w:val="32"/>
          <w:szCs w:val="32"/>
          <w:lang w:val="en-US"/>
        </w:rPr>
        <w:t>Central Board of Direct Taxes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 advised the </w:t>
      </w:r>
      <w:r w:rsidRPr="00047A86">
        <w:rPr>
          <w:rFonts w:ascii="SerifaBT-Roman" w:hAnsi="SerifaBT-Roman"/>
          <w:bCs/>
          <w:sz w:val="32"/>
          <w:szCs w:val="32"/>
          <w:lang w:val="en-US"/>
        </w:rPr>
        <w:t>officers dealing with International Taxes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 </w:t>
      </w:r>
      <w:r w:rsidRPr="00047A86">
        <w:rPr>
          <w:rFonts w:ascii="SerifaBT-Roman" w:hAnsi="SerifaBT-Roman"/>
          <w:bCs/>
          <w:sz w:val="32"/>
          <w:szCs w:val="32"/>
          <w:lang w:val="en-US"/>
        </w:rPr>
        <w:t>no</w:t>
      </w:r>
      <w:r w:rsidR="0036140E">
        <w:rPr>
          <w:rFonts w:ascii="SerifaBT-Roman" w:hAnsi="SerifaBT-Roman"/>
          <w:bCs/>
          <w:sz w:val="32"/>
          <w:szCs w:val="32"/>
          <w:lang w:val="en-US"/>
        </w:rPr>
        <w:t>t to take</w:t>
      </w:r>
      <w:r w:rsidRPr="00047A86">
        <w:rPr>
          <w:rFonts w:ascii="SerifaBT-Roman" w:hAnsi="SerifaBT-Roman"/>
          <w:bCs/>
          <w:sz w:val="32"/>
          <w:szCs w:val="32"/>
          <w:lang w:val="en-US"/>
        </w:rPr>
        <w:t xml:space="preserve"> coercive action for recovery of demand already raised by </w:t>
      </w:r>
      <w:proofErr w:type="gramStart"/>
      <w:r w:rsidRPr="00047A86">
        <w:rPr>
          <w:rFonts w:ascii="SerifaBT-Roman" w:hAnsi="SerifaBT-Roman"/>
          <w:bCs/>
          <w:sz w:val="32"/>
          <w:szCs w:val="32"/>
          <w:lang w:val="en-US"/>
        </w:rPr>
        <w:t>invoking</w:t>
      </w:r>
      <w:proofErr w:type="gramEnd"/>
      <w:r w:rsidRPr="00047A86">
        <w:rPr>
          <w:rFonts w:ascii="SerifaBT-Roman" w:hAnsi="SerifaBT-Roman"/>
          <w:bCs/>
          <w:sz w:val="32"/>
          <w:szCs w:val="32"/>
          <w:lang w:val="en-US"/>
        </w:rPr>
        <w:t xml:space="preserve"> provisions of MAT in the cases for foreign companies</w:t>
      </w:r>
      <w:r w:rsidR="0036140E">
        <w:rPr>
          <w:rFonts w:ascii="SerifaBT-Roman" w:hAnsi="SerifaBT-Roman"/>
          <w:bCs/>
          <w:sz w:val="32"/>
          <w:szCs w:val="32"/>
          <w:lang w:val="en-US"/>
        </w:rPr>
        <w:t xml:space="preserve"> and</w:t>
      </w:r>
      <w:r w:rsidRPr="00047A86">
        <w:rPr>
          <w:rFonts w:ascii="SerifaBT-Roman" w:hAnsi="SerifaBT-Roman"/>
          <w:bCs/>
          <w:sz w:val="32"/>
          <w:szCs w:val="32"/>
          <w:lang w:val="en-US"/>
        </w:rPr>
        <w:t xml:space="preserve"> Issues of fresh notices for reopening of cases as also completion of assessment should also be put on hold unless the case is getting barred by limitation.</w:t>
      </w:r>
      <w:r w:rsidR="0036140E">
        <w:rPr>
          <w:rFonts w:ascii="SerifaBT-Roman" w:hAnsi="SerifaBT-Roman"/>
          <w:bCs/>
          <w:sz w:val="32"/>
          <w:szCs w:val="32"/>
          <w:lang w:val="en-US"/>
        </w:rPr>
        <w:t xml:space="preserve"> For details </w:t>
      </w:r>
      <w:hyperlink r:id="rId7" w:history="1">
        <w:r w:rsidR="0036140E" w:rsidRPr="0036140E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505C2D" w:rsidRDefault="00505C2D" w:rsidP="00505C2D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505C2D" w:rsidRDefault="00FA4685" w:rsidP="00505C2D">
      <w:pPr>
        <w:spacing w:before="120" w:after="120"/>
        <w:jc w:val="both"/>
        <w:rPr>
          <w:rFonts w:ascii="SerifaBT-Roman" w:hAnsi="SerifaBT-Roman"/>
          <w:color w:val="FF0000"/>
          <w:sz w:val="32"/>
          <w:szCs w:val="32"/>
        </w:rPr>
      </w:pPr>
      <w:r>
        <w:rPr>
          <w:rFonts w:ascii="SerifaBT-Roman" w:hAnsi="SerifaBT-Roman"/>
          <w:sz w:val="32"/>
          <w:szCs w:val="32"/>
        </w:rPr>
        <w:t xml:space="preserve">IRDAI </w:t>
      </w:r>
      <w:r w:rsidR="008F43D8">
        <w:rPr>
          <w:rFonts w:ascii="SerifaBT-Roman" w:hAnsi="SerifaBT-Roman"/>
          <w:sz w:val="32"/>
          <w:szCs w:val="32"/>
        </w:rPr>
        <w:t xml:space="preserve">has </w:t>
      </w:r>
      <w:r>
        <w:rPr>
          <w:rFonts w:ascii="SerifaBT-Roman" w:hAnsi="SerifaBT-Roman"/>
          <w:sz w:val="32"/>
          <w:szCs w:val="32"/>
        </w:rPr>
        <w:t>issued Guidelines on Participation in Electronic Transaction Administration and Settlement System. For details</w:t>
      </w:r>
      <w:r w:rsidRPr="00FA4685">
        <w:rPr>
          <w:rFonts w:ascii="SerifaBT-Roman" w:hAnsi="SerifaBT-Roman"/>
          <w:color w:val="FF0000"/>
          <w:sz w:val="32"/>
          <w:szCs w:val="32"/>
        </w:rPr>
        <w:t xml:space="preserve"> </w:t>
      </w:r>
      <w:hyperlink r:id="rId8" w:history="1">
        <w:r w:rsidRPr="00FA4685">
          <w:rPr>
            <w:rStyle w:val="Hyperlink"/>
            <w:rFonts w:ascii="SerifaBT-Roman" w:hAnsi="SerifaBT-Roman"/>
            <w:color w:val="FF0000"/>
            <w:sz w:val="32"/>
            <w:szCs w:val="32"/>
          </w:rPr>
          <w:t>cli</w:t>
        </w:r>
        <w:r w:rsidRPr="00FA4685">
          <w:rPr>
            <w:rStyle w:val="Hyperlink"/>
            <w:rFonts w:ascii="SerifaBT-Roman" w:hAnsi="SerifaBT-Roman"/>
            <w:color w:val="FF0000"/>
            <w:sz w:val="32"/>
            <w:szCs w:val="32"/>
          </w:rPr>
          <w:t>c</w:t>
        </w:r>
        <w:r w:rsidRPr="00FA4685">
          <w:rPr>
            <w:rStyle w:val="Hyperlink"/>
            <w:rFonts w:ascii="SerifaBT-Roman" w:hAnsi="SerifaBT-Roman"/>
            <w:color w:val="FF0000"/>
            <w:sz w:val="32"/>
            <w:szCs w:val="32"/>
          </w:rPr>
          <w:t>k here</w:t>
        </w:r>
      </w:hyperlink>
    </w:p>
    <w:p w:rsidR="00FA4685" w:rsidRDefault="00FA4685" w:rsidP="00505C2D">
      <w:pPr>
        <w:spacing w:before="120" w:after="120"/>
        <w:jc w:val="both"/>
        <w:rPr>
          <w:rFonts w:ascii="SerifaBT-Roman" w:hAnsi="SerifaBT-Roman"/>
          <w:color w:val="FF0000"/>
          <w:sz w:val="32"/>
          <w:szCs w:val="32"/>
        </w:rPr>
      </w:pPr>
    </w:p>
    <w:p w:rsidR="00FA4685" w:rsidRDefault="00FA4685" w:rsidP="00505C2D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484A40" w:rsidRPr="00DF3B13" w:rsidRDefault="00484A40" w:rsidP="00505C2D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Views/Suggestions Solicited</w:t>
      </w:r>
    </w:p>
    <w:p w:rsidR="00484A40" w:rsidRPr="00351682" w:rsidRDefault="00484A40" w:rsidP="00484A40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351682">
        <w:rPr>
          <w:rFonts w:ascii="SerifaBT-Roman" w:hAnsi="SerifaBT-Roman"/>
          <w:bCs/>
          <w:sz w:val="32"/>
          <w:szCs w:val="32"/>
          <w:lang w:val="en-US"/>
        </w:rPr>
        <w:t xml:space="preserve">Views /suggestions solicited on Draft </w:t>
      </w:r>
      <w:proofErr w:type="spellStart"/>
      <w:r w:rsidRPr="00351682">
        <w:rPr>
          <w:rFonts w:ascii="SerifaBT-Roman" w:hAnsi="SerifaBT-Roman"/>
          <w:bCs/>
          <w:sz w:val="32"/>
          <w:szCs w:val="32"/>
          <w:lang w:val="en-US"/>
        </w:rPr>
        <w:t>Labour</w:t>
      </w:r>
      <w:proofErr w:type="spellEnd"/>
      <w:r w:rsidRPr="00351682">
        <w:rPr>
          <w:rFonts w:ascii="SerifaBT-Roman" w:hAnsi="SerifaBT-Roman"/>
          <w:bCs/>
          <w:sz w:val="32"/>
          <w:szCs w:val="32"/>
          <w:lang w:val="en-US"/>
        </w:rPr>
        <w:t xml:space="preserve"> Code on Industrial Relations Bill, 2015. For details </w:t>
      </w:r>
      <w:hyperlink r:id="rId9" w:history="1">
        <w:r w:rsidRPr="00351682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</w:t>
        </w:r>
        <w:r w:rsidRPr="00351682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k</w:t>
        </w:r>
        <w:r w:rsidRPr="00351682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 xml:space="preserve"> here</w:t>
        </w:r>
      </w:hyperlink>
    </w:p>
    <w:p w:rsidR="00484A40" w:rsidRPr="00351682" w:rsidRDefault="00484A40" w:rsidP="00484A40">
      <w:pPr>
        <w:spacing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DF3B13" w:rsidRPr="00351682" w:rsidRDefault="00DF3B13" w:rsidP="00DF3B13">
      <w:pPr>
        <w:spacing w:before="120" w:after="0"/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D158DB" w:rsidRDefault="00D158DB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color w:val="984806" w:themeColor="accent6" w:themeShade="80"/>
          <w:sz w:val="36"/>
          <w:szCs w:val="36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Legal Term of the Day</w:t>
      </w:r>
      <w:r w:rsidRPr="00DF3B13">
        <w:rPr>
          <w:rFonts w:ascii="SerifaBT-Roman" w:hAnsi="SerifaBT-Roman"/>
          <w:color w:val="984806" w:themeColor="accent6" w:themeShade="80"/>
          <w:sz w:val="36"/>
          <w:szCs w:val="36"/>
        </w:rPr>
        <w:t xml:space="preserve"> </w:t>
      </w:r>
    </w:p>
    <w:p w:rsidR="00484A40" w:rsidRPr="00DF3B13" w:rsidRDefault="00484A40" w:rsidP="00484A40">
      <w:pPr>
        <w:spacing w:after="120"/>
        <w:jc w:val="both"/>
        <w:rPr>
          <w:rFonts w:ascii="SerifaBT-Roman" w:hAnsi="SerifaBT-Roman"/>
          <w:b/>
          <w:bCs/>
          <w:i/>
          <w:iCs/>
          <w:sz w:val="32"/>
          <w:szCs w:val="32"/>
        </w:rPr>
      </w:pPr>
      <w:r w:rsidRPr="00DF3B13">
        <w:rPr>
          <w:rFonts w:ascii="SerifaBT-Roman" w:hAnsi="SerifaBT-Roman"/>
          <w:b/>
          <w:bCs/>
          <w:i/>
          <w:iCs/>
          <w:sz w:val="32"/>
          <w:szCs w:val="32"/>
        </w:rPr>
        <w:t>“</w:t>
      </w:r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 xml:space="preserve">Forma </w:t>
      </w:r>
      <w:proofErr w:type="spellStart"/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>legalis</w:t>
      </w:r>
      <w:proofErr w:type="spellEnd"/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 xml:space="preserve"> forma </w:t>
      </w:r>
      <w:proofErr w:type="spellStart"/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>essentialis</w:t>
      </w:r>
      <w:proofErr w:type="spellEnd"/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 xml:space="preserve"> </w:t>
      </w:r>
      <w:proofErr w:type="spellStart"/>
      <w:proofErr w:type="gramStart"/>
      <w:r w:rsidR="001D7FF5" w:rsidRPr="001D7FF5">
        <w:rPr>
          <w:rFonts w:ascii="SerifaBT-Roman" w:hAnsi="SerifaBT-Roman"/>
          <w:b/>
          <w:bCs/>
          <w:i/>
          <w:iCs/>
          <w:sz w:val="32"/>
          <w:szCs w:val="32"/>
        </w:rPr>
        <w:t>est</w:t>
      </w:r>
      <w:proofErr w:type="spellEnd"/>
      <w:proofErr w:type="gramEnd"/>
      <w:r w:rsidRPr="00DF3B13">
        <w:rPr>
          <w:rFonts w:ascii="SerifaBT-Roman" w:hAnsi="SerifaBT-Roman"/>
          <w:b/>
          <w:bCs/>
          <w:i/>
          <w:iCs/>
          <w:sz w:val="32"/>
          <w:szCs w:val="32"/>
        </w:rPr>
        <w:t xml:space="preserve">” </w:t>
      </w:r>
    </w:p>
    <w:p w:rsidR="00484A40" w:rsidRPr="00DF3B13" w:rsidRDefault="001D7FF5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  <w:r w:rsidRPr="001D7FF5">
        <w:rPr>
          <w:rFonts w:ascii="SerifaBT-Roman" w:hAnsi="SerifaBT-Roman"/>
          <w:bCs/>
          <w:iCs/>
          <w:sz w:val="32"/>
          <w:szCs w:val="32"/>
        </w:rPr>
        <w:t>Legal form is essential form.</w:t>
      </w:r>
    </w:p>
    <w:p w:rsidR="008B7226" w:rsidRPr="00DF3B13" w:rsidRDefault="008B7226" w:rsidP="00484A40">
      <w:pPr>
        <w:spacing w:after="0"/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AB0915" w:rsidRDefault="00AB0915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484A40" w:rsidRPr="00DF3B13" w:rsidRDefault="00484A40" w:rsidP="00484A40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Market Update 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at </w:t>
      </w:r>
      <w:r w:rsidR="00516628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9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.</w:t>
      </w:r>
      <w:r w:rsidR="00351682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>33</w:t>
      </w:r>
      <w:r w:rsidRPr="00521C6C">
        <w:rPr>
          <w:rFonts w:ascii="SerifaBT-Roman" w:hAnsi="SerifaBT-Roman"/>
          <w:bCs/>
          <w:color w:val="984806" w:themeColor="accent6" w:themeShade="80"/>
          <w:sz w:val="12"/>
          <w:szCs w:val="12"/>
          <w:lang w:val="en-US"/>
        </w:rPr>
        <w:t xml:space="preserve"> AM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551"/>
        <w:gridCol w:w="3402"/>
        <w:gridCol w:w="1927"/>
      </w:tblGrid>
      <w:tr w:rsidR="00484A40" w:rsidRPr="00DF3B13" w:rsidTr="00DF3B13">
        <w:tc>
          <w:tcPr>
            <w:tcW w:w="2802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SENSEX</w:t>
            </w:r>
          </w:p>
          <w:p w:rsidR="00484A40" w:rsidRPr="00DF3B13" w:rsidRDefault="00484A40" w:rsidP="00351682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  <w:lang w:val="en-US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2</w:t>
            </w:r>
            <w:r w:rsidR="00516628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7</w:t>
            </w:r>
            <w:r w:rsidR="00351682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138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.</w:t>
            </w:r>
            <w:r w:rsidR="00351682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73</w:t>
            </w:r>
            <w:r w:rsidR="0030479B"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 xml:space="preserve"> (</w:t>
            </w:r>
            <w:r w:rsidR="00351682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-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 xml:space="preserve"> </w:t>
            </w:r>
            <w:r w:rsidR="00351682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368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.</w:t>
            </w:r>
            <w:r w:rsidR="00351682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57</w:t>
            </w:r>
            <w:r w:rsidRPr="00DF3B13">
              <w:rPr>
                <w:rFonts w:ascii="SerifaBT-Roman" w:hAnsi="SerifaBT-Roman"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2551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NIFTY</w:t>
            </w:r>
          </w:p>
          <w:p w:rsidR="00484A40" w:rsidRPr="00DF3B13" w:rsidRDefault="00484A40" w:rsidP="00351682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8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>2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05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20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(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-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120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0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>5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3402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GOLD (MCX) (Rs/10g.)</w:t>
            </w:r>
          </w:p>
          <w:p w:rsidR="00484A40" w:rsidRPr="00DF3B13" w:rsidRDefault="00484A40" w:rsidP="00351682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26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>8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48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.00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 xml:space="preserve"> (-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>4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1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.00)</w:t>
            </w:r>
          </w:p>
        </w:tc>
        <w:tc>
          <w:tcPr>
            <w:tcW w:w="1927" w:type="dxa"/>
          </w:tcPr>
          <w:p w:rsidR="00484A40" w:rsidRPr="00DF3B13" w:rsidRDefault="00484A40" w:rsidP="00484A40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USD/INR</w:t>
            </w:r>
          </w:p>
          <w:p w:rsidR="00484A40" w:rsidRPr="00DF3B13" w:rsidRDefault="00484A40" w:rsidP="00351682">
            <w:pPr>
              <w:spacing w:before="120"/>
              <w:jc w:val="both"/>
              <w:rPr>
                <w:rFonts w:ascii="SerifaBT-Roman" w:hAnsi="SerifaBT-Roman"/>
                <w:bCs/>
                <w:sz w:val="28"/>
                <w:szCs w:val="28"/>
              </w:rPr>
            </w:pP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6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4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.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21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(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+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 xml:space="preserve"> 0.</w:t>
            </w:r>
            <w:r w:rsidR="00351682">
              <w:rPr>
                <w:rFonts w:ascii="SerifaBT-Roman" w:hAnsi="SerifaBT-Roman"/>
                <w:bCs/>
                <w:sz w:val="28"/>
                <w:szCs w:val="28"/>
              </w:rPr>
              <w:t>3</w:t>
            </w:r>
            <w:r w:rsidR="00516628">
              <w:rPr>
                <w:rFonts w:ascii="SerifaBT-Roman" w:hAnsi="SerifaBT-Roman"/>
                <w:bCs/>
                <w:sz w:val="28"/>
                <w:szCs w:val="28"/>
              </w:rPr>
              <w:t>1</w:t>
            </w:r>
            <w:r w:rsidRPr="00DF3B13">
              <w:rPr>
                <w:rFonts w:ascii="SerifaBT-Roman" w:hAnsi="SerifaBT-Roman"/>
                <w:bCs/>
                <w:sz w:val="28"/>
                <w:szCs w:val="28"/>
              </w:rPr>
              <w:t>)</w:t>
            </w:r>
          </w:p>
        </w:tc>
      </w:tr>
    </w:tbl>
    <w:p w:rsidR="00ED2D22" w:rsidRDefault="00ED2D22" w:rsidP="00ED2D22">
      <w:pPr>
        <w:jc w:val="both"/>
        <w:rPr>
          <w:rFonts w:ascii="SerifaBT-Roman" w:hAnsi="SerifaBT-Roman"/>
          <w:b/>
          <w:bCs/>
          <w:color w:val="984806" w:themeColor="accent6" w:themeShade="80"/>
          <w:sz w:val="30"/>
          <w:szCs w:val="30"/>
          <w:lang w:val="en-US"/>
        </w:rPr>
      </w:pPr>
    </w:p>
    <w:p w:rsidR="00351682" w:rsidRDefault="00351682" w:rsidP="00351682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</w:p>
    <w:p w:rsidR="00351682" w:rsidRPr="00DF3B13" w:rsidRDefault="00351682" w:rsidP="00351682">
      <w:pPr>
        <w:spacing w:before="120" w:after="120"/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ICSI Update</w:t>
      </w:r>
    </w:p>
    <w:p w:rsidR="00351682" w:rsidRPr="003A70BB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proofErr w:type="gramStart"/>
      <w:r w:rsidRPr="003A70BB">
        <w:rPr>
          <w:rFonts w:ascii="SerifaBT-Roman" w:hAnsi="SerifaBT-Roman"/>
          <w:bCs/>
          <w:sz w:val="32"/>
          <w:szCs w:val="32"/>
          <w:lang w:val="en-US"/>
        </w:rPr>
        <w:t>16</w:t>
      </w:r>
      <w:r w:rsidRPr="003A70BB">
        <w:rPr>
          <w:rFonts w:ascii="SerifaBT-Roman" w:hAnsi="SerifaBT-Roman"/>
          <w:bCs/>
          <w:sz w:val="32"/>
          <w:szCs w:val="32"/>
          <w:vertAlign w:val="superscript"/>
          <w:lang w:val="en-US"/>
        </w:rPr>
        <w:t>th</w:t>
      </w:r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 National Conference of Practicing Company Secretaries on August 13-14, 2015 at Kochi.</w:t>
      </w:r>
      <w:proofErr w:type="gramEnd"/>
      <w:r w:rsidRPr="003A70BB">
        <w:rPr>
          <w:rFonts w:ascii="SerifaBT-Roman" w:hAnsi="SerifaBT-Roman"/>
          <w:bCs/>
          <w:sz w:val="32"/>
          <w:szCs w:val="32"/>
          <w:lang w:val="en-US"/>
        </w:rPr>
        <w:t xml:space="preserve"> The details of the Conference would be hosted in the ICSI website in due course.</w:t>
      </w:r>
    </w:p>
    <w:p w:rsidR="00351682" w:rsidRDefault="00351682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DB0BA1" w:rsidRPr="008A7360" w:rsidRDefault="00DB0BA1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</w:p>
    <w:p w:rsidR="00351682" w:rsidRPr="008A7360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The scheduled Training </w:t>
      </w:r>
      <w:proofErr w:type="spellStart"/>
      <w:r w:rsidRPr="008A7360">
        <w:rPr>
          <w:rFonts w:ascii="SerifaBT-Roman" w:hAnsi="SerifaBT-Roman"/>
          <w:bCs/>
          <w:sz w:val="32"/>
          <w:szCs w:val="32"/>
          <w:lang w:val="en-US"/>
        </w:rPr>
        <w:t>Programmes</w:t>
      </w:r>
      <w:proofErr w:type="spellEnd"/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 for Peer Reviewers are as follows:</w:t>
      </w:r>
    </w:p>
    <w:tbl>
      <w:tblPr>
        <w:tblStyle w:val="TableGrid"/>
        <w:tblW w:w="0" w:type="auto"/>
        <w:tblLook w:val="04A0"/>
      </w:tblPr>
      <w:tblGrid>
        <w:gridCol w:w="959"/>
        <w:gridCol w:w="2268"/>
        <w:gridCol w:w="1701"/>
        <w:gridCol w:w="1816"/>
      </w:tblGrid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S. No.</w:t>
            </w: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Date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Place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May 16,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Coimbatore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May 17,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Sunday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Aurangabad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May 23,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Ahmedabad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June 6,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Saturday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Pune</w:t>
            </w:r>
          </w:p>
        </w:tc>
      </w:tr>
      <w:tr w:rsidR="00351682" w:rsidRPr="008A7360" w:rsidTr="005A5BC6">
        <w:tc>
          <w:tcPr>
            <w:tcW w:w="959" w:type="dxa"/>
          </w:tcPr>
          <w:p w:rsidR="00351682" w:rsidRPr="008A7360" w:rsidRDefault="00351682" w:rsidP="005A5BC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June 26, 2015</w:t>
            </w:r>
          </w:p>
        </w:tc>
        <w:tc>
          <w:tcPr>
            <w:tcW w:w="1701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Friday</w:t>
            </w:r>
          </w:p>
        </w:tc>
        <w:tc>
          <w:tcPr>
            <w:tcW w:w="1816" w:type="dxa"/>
          </w:tcPr>
          <w:p w:rsidR="00351682" w:rsidRPr="008A7360" w:rsidRDefault="00351682" w:rsidP="005A5BC6">
            <w:pPr>
              <w:jc w:val="both"/>
              <w:rPr>
                <w:rFonts w:ascii="SerifaBT-Roman" w:hAnsi="SerifaBT-Roman"/>
                <w:bCs/>
                <w:sz w:val="32"/>
                <w:szCs w:val="32"/>
                <w:lang w:val="en-US"/>
              </w:rPr>
            </w:pPr>
            <w:r w:rsidRPr="008A7360">
              <w:rPr>
                <w:rFonts w:ascii="SerifaBT-Roman" w:hAnsi="SerifaBT-Roman"/>
                <w:bCs/>
                <w:sz w:val="32"/>
                <w:szCs w:val="32"/>
                <w:lang w:val="en-US"/>
              </w:rPr>
              <w:t>Chennai</w:t>
            </w:r>
          </w:p>
        </w:tc>
      </w:tr>
    </w:tbl>
    <w:p w:rsidR="00351682" w:rsidRDefault="00351682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DB0BA1" w:rsidRPr="008A7360" w:rsidRDefault="00DB0BA1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351682" w:rsidRPr="008A7360" w:rsidRDefault="00351682" w:rsidP="00351682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Workshop on Indirect Taxes on 15th May 2015 at PHD House, New Delhi. For details </w:t>
      </w:r>
      <w:hyperlink r:id="rId10" w:history="1"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351682" w:rsidRDefault="00351682" w:rsidP="00351682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</w:p>
    <w:p w:rsidR="00DB0BA1" w:rsidRPr="008A7360" w:rsidRDefault="00DB0BA1" w:rsidP="00351682">
      <w:pPr>
        <w:jc w:val="both"/>
        <w:rPr>
          <w:rFonts w:ascii="SerifaBT-Roman" w:hAnsi="SerifaBT-Roman"/>
          <w:bCs/>
          <w:color w:val="FF0000"/>
          <w:sz w:val="32"/>
          <w:szCs w:val="32"/>
          <w:lang w:val="en-US"/>
        </w:rPr>
      </w:pPr>
    </w:p>
    <w:p w:rsidR="00DB0BA1" w:rsidRDefault="00DB0BA1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  <w:r w:rsidRPr="00DB0BA1">
        <w:rPr>
          <w:rFonts w:ascii="SerifaBT-Roman" w:hAnsi="SerifaBT-Roman"/>
          <w:bCs/>
          <w:sz w:val="32"/>
          <w:szCs w:val="32"/>
          <w:lang w:val="en-US"/>
        </w:rPr>
        <w:t>Workshop on Annual Returns on 15th May 2015 at PHD House, New Delhi</w:t>
      </w:r>
      <w:r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11" w:history="1">
        <w:r w:rsidRPr="00D742D7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click here</w:t>
        </w:r>
      </w:hyperlink>
    </w:p>
    <w:p w:rsidR="00DB0BA1" w:rsidRDefault="00DB0BA1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DB0BA1" w:rsidRDefault="00DB0BA1" w:rsidP="00351682">
      <w:pPr>
        <w:jc w:val="both"/>
        <w:rPr>
          <w:rFonts w:ascii="SerifaBT-Roman" w:hAnsi="SerifaBT-Roman"/>
          <w:bCs/>
          <w:sz w:val="32"/>
          <w:szCs w:val="32"/>
          <w:lang w:val="en-US"/>
        </w:rPr>
      </w:pPr>
    </w:p>
    <w:p w:rsidR="00351682" w:rsidRPr="008A7360" w:rsidRDefault="00351682" w:rsidP="00351682">
      <w:pPr>
        <w:jc w:val="both"/>
        <w:rPr>
          <w:rFonts w:ascii="SerifaBT-Roman" w:hAnsi="SerifaBT-Roman"/>
          <w:sz w:val="32"/>
          <w:szCs w:val="32"/>
        </w:rPr>
      </w:pPr>
      <w:proofErr w:type="gramStart"/>
      <w:r w:rsidRPr="008A7360">
        <w:rPr>
          <w:rFonts w:ascii="SerifaBT-Roman" w:hAnsi="SerifaBT-Roman"/>
          <w:bCs/>
          <w:sz w:val="32"/>
          <w:szCs w:val="32"/>
          <w:lang w:val="en-US"/>
        </w:rPr>
        <w:t>National Seminar on Secretarial Audit on May 16, 2015 at Bhubaneswar.</w:t>
      </w:r>
      <w:proofErr w:type="gramEnd"/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 For details </w:t>
      </w:r>
      <w:hyperlink r:id="rId12" w:history="1"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 xml:space="preserve">click </w:t>
        </w:r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h</w:t>
        </w:r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ere</w:t>
        </w:r>
      </w:hyperlink>
    </w:p>
    <w:p w:rsidR="00351682" w:rsidRDefault="00351682" w:rsidP="00351682">
      <w:pPr>
        <w:jc w:val="both"/>
        <w:rPr>
          <w:rFonts w:ascii="SerifaBT-Roman" w:hAnsi="SerifaBT-Roman"/>
          <w:sz w:val="32"/>
          <w:szCs w:val="32"/>
        </w:rPr>
      </w:pPr>
    </w:p>
    <w:p w:rsidR="00DB0BA1" w:rsidRPr="008A7360" w:rsidRDefault="00DB0BA1" w:rsidP="00351682">
      <w:pPr>
        <w:jc w:val="both"/>
        <w:rPr>
          <w:rFonts w:ascii="SerifaBT-Roman" w:hAnsi="SerifaBT-Roman"/>
          <w:sz w:val="32"/>
          <w:szCs w:val="32"/>
        </w:rPr>
      </w:pPr>
    </w:p>
    <w:p w:rsidR="00351682" w:rsidRPr="008A7360" w:rsidRDefault="00351682" w:rsidP="00351682">
      <w:pPr>
        <w:spacing w:before="120" w:after="120"/>
        <w:jc w:val="both"/>
        <w:rPr>
          <w:rFonts w:ascii="SerifaBT-Roman" w:hAnsi="SerifaBT-Roman"/>
          <w:sz w:val="32"/>
          <w:szCs w:val="32"/>
        </w:rPr>
      </w:pPr>
      <w:hyperlink r:id="rId13" w:tgtFrame="blank" w:history="1">
        <w:r w:rsidRPr="008A7360">
          <w:rPr>
            <w:rFonts w:ascii="SerifaBT-Roman" w:hAnsi="SerifaBT-Roman"/>
            <w:bCs/>
            <w:sz w:val="32"/>
            <w:szCs w:val="32"/>
            <w:lang w:val="en-US"/>
          </w:rPr>
          <w:t>ICSI celebrates Capital Markets Week during May 25-31, 2015</w:t>
        </w:r>
      </w:hyperlink>
      <w:r w:rsidRPr="008A7360">
        <w:rPr>
          <w:rFonts w:ascii="SerifaBT-Roman" w:hAnsi="SerifaBT-Roman"/>
          <w:bCs/>
          <w:sz w:val="32"/>
          <w:szCs w:val="32"/>
          <w:lang w:val="en-US"/>
        </w:rPr>
        <w:t xml:space="preserve">. For details </w:t>
      </w:r>
      <w:hyperlink r:id="rId14" w:history="1"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c</w:t>
        </w:r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l</w:t>
        </w:r>
        <w:r w:rsidRPr="008A7360">
          <w:rPr>
            <w:rStyle w:val="Hyperlink"/>
            <w:rFonts w:ascii="SerifaBT-Roman" w:hAnsi="SerifaBT-Roman"/>
            <w:bCs/>
            <w:color w:val="FF0000"/>
            <w:sz w:val="32"/>
            <w:szCs w:val="32"/>
            <w:lang w:val="en-US"/>
          </w:rPr>
          <w:t>ick here</w:t>
        </w:r>
      </w:hyperlink>
    </w:p>
    <w:p w:rsidR="00351682" w:rsidRDefault="00351682" w:rsidP="00484A40">
      <w:pPr>
        <w:pBdr>
          <w:bottom w:val="single" w:sz="6" w:space="1" w:color="auto"/>
        </w:pBdr>
        <w:jc w:val="both"/>
        <w:rPr>
          <w:rFonts w:ascii="SerifaBT-Roman" w:hAnsi="SerifaBT-Roman"/>
          <w:color w:val="FF0000"/>
        </w:rPr>
      </w:pPr>
    </w:p>
    <w:p w:rsidR="00DB0BA1" w:rsidRPr="00DF3B13" w:rsidRDefault="00DB0BA1" w:rsidP="00484A40">
      <w:pPr>
        <w:pBdr>
          <w:bottom w:val="single" w:sz="6" w:space="1" w:color="auto"/>
        </w:pBdr>
        <w:jc w:val="both"/>
        <w:rPr>
          <w:rFonts w:ascii="SerifaBT-Roman" w:hAnsi="SerifaBT-Roman"/>
          <w:color w:val="FF0000"/>
        </w:rPr>
      </w:pPr>
    </w:p>
    <w:p w:rsidR="00484A40" w:rsidRPr="00DF3B13" w:rsidRDefault="00484A40" w:rsidP="00484A40">
      <w:pPr>
        <w:jc w:val="both"/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</w:pPr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 xml:space="preserve">For Previous CS UPDATES </w:t>
      </w:r>
      <w:proofErr w:type="gramStart"/>
      <w:r w:rsidRPr="00DF3B13">
        <w:rPr>
          <w:rFonts w:ascii="SerifaBT-Roman" w:hAnsi="SerifaBT-Roman"/>
          <w:b/>
          <w:bCs/>
          <w:color w:val="984806" w:themeColor="accent6" w:themeShade="80"/>
          <w:sz w:val="36"/>
          <w:szCs w:val="36"/>
          <w:lang w:val="en-US"/>
        </w:rPr>
        <w:t>visit :</w:t>
      </w:r>
      <w:proofErr w:type="gramEnd"/>
    </w:p>
    <w:p w:rsidR="00484A40" w:rsidRPr="00DF3B13" w:rsidRDefault="00484A40" w:rsidP="00484A40">
      <w:pPr>
        <w:jc w:val="both"/>
        <w:rPr>
          <w:rFonts w:ascii="SerifaBT-Roman" w:hAnsi="SerifaBT-Roman"/>
          <w:color w:val="FF0000"/>
          <w:sz w:val="32"/>
          <w:szCs w:val="32"/>
        </w:rPr>
      </w:pPr>
      <w:r w:rsidRPr="00DF3B13">
        <w:rPr>
          <w:rFonts w:ascii="SerifaBT-Roman" w:hAnsi="SerifaBT-Roman"/>
          <w:bCs/>
          <w:sz w:val="32"/>
          <w:szCs w:val="32"/>
          <w:lang w:val="en-US"/>
        </w:rPr>
        <w:t>http://www.icsi.edu/Member/CSUpdate.aspx</w:t>
      </w:r>
      <w:r w:rsidRPr="00DF3B13">
        <w:rPr>
          <w:rFonts w:ascii="SerifaBT-Roman" w:hAnsi="SerifaBT-Roman"/>
          <w:bCs/>
          <w:sz w:val="32"/>
          <w:szCs w:val="32"/>
          <w:lang w:val="en-US"/>
        </w:rPr>
        <w:cr/>
      </w:r>
      <w:proofErr w:type="gramStart"/>
      <w:r w:rsidRPr="00DF3B13">
        <w:rPr>
          <w:rFonts w:ascii="SerifaBT-Roman" w:hAnsi="SerifaBT-Roman"/>
          <w:bCs/>
          <w:sz w:val="32"/>
          <w:szCs w:val="32"/>
          <w:lang w:val="en-US"/>
        </w:rPr>
        <w:t>Directorate of Academics, Professional Development &amp; Perspective Planning, ICSI.</w:t>
      </w:r>
      <w:proofErr w:type="gramEnd"/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Email: </w:t>
      </w:r>
      <w:hyperlink r:id="rId15" w:history="1">
        <w:r w:rsidRPr="00DF3B13">
          <w:rPr>
            <w:rStyle w:val="Hyperlink"/>
            <w:rFonts w:ascii="SerifaBT-Roman" w:hAnsi="SerifaBT-Roman"/>
            <w:bCs/>
            <w:sz w:val="32"/>
            <w:szCs w:val="32"/>
            <w:lang w:val="en-US"/>
          </w:rPr>
          <w:t>csupdate@icsi.edu</w:t>
        </w:r>
      </w:hyperlink>
      <w:r w:rsidRPr="00DF3B13">
        <w:rPr>
          <w:rFonts w:ascii="SerifaBT-Roman" w:hAnsi="SerifaBT-Roman"/>
          <w:bCs/>
          <w:sz w:val="32"/>
          <w:szCs w:val="32"/>
          <w:lang w:val="en-US"/>
        </w:rPr>
        <w:t xml:space="preserve"> </w:t>
      </w:r>
    </w:p>
    <w:sectPr w:rsidR="00484A40" w:rsidRPr="00DF3B13" w:rsidSect="00484A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rifaBT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873A3"/>
    <w:multiLevelType w:val="hybridMultilevel"/>
    <w:tmpl w:val="18DE785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64DB"/>
    <w:multiLevelType w:val="hybridMultilevel"/>
    <w:tmpl w:val="63868FBA"/>
    <w:lvl w:ilvl="0" w:tplc="FC9EED5C">
      <w:start w:val="63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BE754E"/>
    <w:multiLevelType w:val="hybridMultilevel"/>
    <w:tmpl w:val="9C70FFDC"/>
    <w:lvl w:ilvl="0" w:tplc="25C6915A">
      <w:start w:val="6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4A40"/>
    <w:rsid w:val="0001421C"/>
    <w:rsid w:val="00047A86"/>
    <w:rsid w:val="00052F74"/>
    <w:rsid w:val="000848BE"/>
    <w:rsid w:val="001064E4"/>
    <w:rsid w:val="00143024"/>
    <w:rsid w:val="001D7F92"/>
    <w:rsid w:val="001D7FF5"/>
    <w:rsid w:val="00224DF9"/>
    <w:rsid w:val="00253B95"/>
    <w:rsid w:val="002665A4"/>
    <w:rsid w:val="002C65E0"/>
    <w:rsid w:val="0030479B"/>
    <w:rsid w:val="003051C8"/>
    <w:rsid w:val="00335C9B"/>
    <w:rsid w:val="00351682"/>
    <w:rsid w:val="00351EB8"/>
    <w:rsid w:val="0036140E"/>
    <w:rsid w:val="003A70BB"/>
    <w:rsid w:val="0044058B"/>
    <w:rsid w:val="00484A40"/>
    <w:rsid w:val="004D1170"/>
    <w:rsid w:val="0050093A"/>
    <w:rsid w:val="00505C2D"/>
    <w:rsid w:val="00516628"/>
    <w:rsid w:val="00521C6C"/>
    <w:rsid w:val="005539A4"/>
    <w:rsid w:val="00582996"/>
    <w:rsid w:val="005863ED"/>
    <w:rsid w:val="005D7DC4"/>
    <w:rsid w:val="005E1D8C"/>
    <w:rsid w:val="006751D4"/>
    <w:rsid w:val="006D7B4F"/>
    <w:rsid w:val="00715499"/>
    <w:rsid w:val="007339BA"/>
    <w:rsid w:val="0074118E"/>
    <w:rsid w:val="007411EC"/>
    <w:rsid w:val="00744241"/>
    <w:rsid w:val="00771F9E"/>
    <w:rsid w:val="00777D3E"/>
    <w:rsid w:val="008A7360"/>
    <w:rsid w:val="008B7226"/>
    <w:rsid w:val="008C5879"/>
    <w:rsid w:val="008C6F04"/>
    <w:rsid w:val="008E505F"/>
    <w:rsid w:val="008F365C"/>
    <w:rsid w:val="008F43D8"/>
    <w:rsid w:val="008F67CF"/>
    <w:rsid w:val="009E7E62"/>
    <w:rsid w:val="009F32EA"/>
    <w:rsid w:val="00A817A4"/>
    <w:rsid w:val="00AA6F8D"/>
    <w:rsid w:val="00AB0915"/>
    <w:rsid w:val="00AC629D"/>
    <w:rsid w:val="00AD4CD6"/>
    <w:rsid w:val="00AD6C95"/>
    <w:rsid w:val="00B05ECC"/>
    <w:rsid w:val="00B11BF9"/>
    <w:rsid w:val="00B21664"/>
    <w:rsid w:val="00B70EAC"/>
    <w:rsid w:val="00BC393D"/>
    <w:rsid w:val="00BE2C17"/>
    <w:rsid w:val="00C073A5"/>
    <w:rsid w:val="00C419BD"/>
    <w:rsid w:val="00C917C0"/>
    <w:rsid w:val="00C918C3"/>
    <w:rsid w:val="00D158DB"/>
    <w:rsid w:val="00D52659"/>
    <w:rsid w:val="00D742D7"/>
    <w:rsid w:val="00D76E47"/>
    <w:rsid w:val="00DB0BA1"/>
    <w:rsid w:val="00DE67C2"/>
    <w:rsid w:val="00DF3B13"/>
    <w:rsid w:val="00DF463A"/>
    <w:rsid w:val="00DF50A9"/>
    <w:rsid w:val="00DF66A1"/>
    <w:rsid w:val="00E03722"/>
    <w:rsid w:val="00E23605"/>
    <w:rsid w:val="00E43F0B"/>
    <w:rsid w:val="00E8624A"/>
    <w:rsid w:val="00EC35B2"/>
    <w:rsid w:val="00ED2D22"/>
    <w:rsid w:val="00ED32A4"/>
    <w:rsid w:val="00EF2541"/>
    <w:rsid w:val="00F21AE0"/>
    <w:rsid w:val="00FA4685"/>
    <w:rsid w:val="00FA7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A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4A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D4C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942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9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9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4318">
                  <w:marLeft w:val="107"/>
                  <w:marRight w:val="10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5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si.edu/docs/Website/ETASS_Final%20Guidelines.pdf" TargetMode="External"/><Relationship Id="rId13" Type="http://schemas.openxmlformats.org/officeDocument/2006/relationships/hyperlink" Target="https://www.icsi.edu/docs/Website/Announcement%20(2)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cometaxindia.gov.in/Lists/Press%20Releases/Attachments/361/CBDT-Press-Release-11-05-2015.pdf" TargetMode="External"/><Relationship Id="rId12" Type="http://schemas.openxmlformats.org/officeDocument/2006/relationships/hyperlink" Target="https://www.icsi.edu/docs/Website/FLYER%20Bhubaneswar%2016%20may%20201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ebi.gov.in/cms/sebi_data/attachdocs/1431337589072.pdf" TargetMode="External"/><Relationship Id="rId11" Type="http://schemas.openxmlformats.org/officeDocument/2006/relationships/hyperlink" Target="http://www.icsi.edu/WebModules/LinksOfWeeks/emailer%209th%20Workshop%20on%20Annual%20Returns.pdf" TargetMode="External"/><Relationship Id="rId5" Type="http://schemas.openxmlformats.org/officeDocument/2006/relationships/hyperlink" Target="http://rbidocs.rbi.org.in/rdocs/PressRelease/PDFs/IEPR2374FBE83CEC05904B18A9F4351AB3FA98A9.PDF" TargetMode="External"/><Relationship Id="rId15" Type="http://schemas.openxmlformats.org/officeDocument/2006/relationships/hyperlink" Target="mailto:csupdate@icsi.edu" TargetMode="External"/><Relationship Id="rId10" Type="http://schemas.openxmlformats.org/officeDocument/2006/relationships/hyperlink" Target="https://www.icsi.edu/docs/website/Workshop%20Series%20on%20Indirect%20Taxes%20GST%20-%2015%20May%2020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i.edu/portals/0/ATTENTION%20MEMBERS.pdf" TargetMode="External"/><Relationship Id="rId14" Type="http://schemas.openxmlformats.org/officeDocument/2006/relationships/hyperlink" Target="https://www.icsi.edu/docs/Website/Announcement%20(2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e0527</dc:creator>
  <cp:lastModifiedBy>e0527</cp:lastModifiedBy>
  <cp:revision>58</cp:revision>
  <dcterms:created xsi:type="dcterms:W3CDTF">2015-05-05T04:48:00Z</dcterms:created>
  <dcterms:modified xsi:type="dcterms:W3CDTF">2015-05-12T04:20:00Z</dcterms:modified>
</cp:coreProperties>
</file>