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EB2E62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EB2E62"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MARCH </w:t>
      </w:r>
      <w:r w:rsidR="00427D48"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2</w:t>
      </w:r>
      <w:r w:rsidR="002F3819"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4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E72AE4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8D50ED" w:rsidRPr="00960800" w:rsidRDefault="008D50ED" w:rsidP="00D757E5">
      <w:pPr>
        <w:spacing w:before="120" w:after="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960800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D757E5" w:rsidRPr="00D757E5">
        <w:rPr>
          <w:rFonts w:ascii="Bookman Old Style" w:hAnsi="Bookman Old Style"/>
          <w:bCs/>
          <w:i/>
          <w:sz w:val="26"/>
          <w:szCs w:val="26"/>
          <w:lang w:val="en-US"/>
        </w:rPr>
        <w:t>One cannot comprehend Him through reason,</w:t>
      </w:r>
      <w:r w:rsidR="00D757E5">
        <w:rPr>
          <w:rFonts w:ascii="Bookman Old Style" w:hAnsi="Bookman Old Style"/>
          <w:bCs/>
          <w:i/>
          <w:sz w:val="26"/>
          <w:szCs w:val="26"/>
          <w:lang w:val="en-US"/>
        </w:rPr>
        <w:t xml:space="preserve"> even if one reasoned for ages</w:t>
      </w:r>
      <w:r w:rsidR="00960800" w:rsidRPr="00960800">
        <w:rPr>
          <w:rFonts w:ascii="Bookman Old Style" w:hAnsi="Bookman Old Style"/>
          <w:bCs/>
          <w:i/>
          <w:sz w:val="26"/>
          <w:szCs w:val="26"/>
          <w:lang w:val="en-US"/>
        </w:rPr>
        <w:t>.</w:t>
      </w:r>
      <w:r w:rsidRPr="00960800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DE7760" w:rsidRPr="00960800" w:rsidRDefault="00000356" w:rsidP="00960800">
      <w:pPr>
        <w:pStyle w:val="ListParagraph"/>
        <w:numPr>
          <w:ilvl w:val="0"/>
          <w:numId w:val="9"/>
        </w:numPr>
        <w:spacing w:after="360" w:line="240" w:lineRule="auto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Guru Nanak</w:t>
      </w:r>
    </w:p>
    <w:p w:rsidR="00CD3930" w:rsidRPr="00D757E5" w:rsidRDefault="00CD393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7D0AD5" w:rsidRPr="002F3819" w:rsidRDefault="002F3819" w:rsidP="002F3819">
      <w:pPr>
        <w:spacing w:before="120" w:after="12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 w:rsidRPr="002F3819">
        <w:rPr>
          <w:rFonts w:ascii="Bookman Old Style" w:hAnsi="Bookman Old Style"/>
          <w:b/>
          <w:bCs/>
          <w:i/>
          <w:sz w:val="24"/>
          <w:szCs w:val="24"/>
          <w:lang w:val="en-US"/>
        </w:rPr>
        <w:t>Company Law Board</w:t>
      </w: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 xml:space="preserve"> (CLB)</w:t>
      </w:r>
    </w:p>
    <w:p w:rsidR="002F3819" w:rsidRDefault="002F3819" w:rsidP="002F3819">
      <w:pPr>
        <w:spacing w:after="240"/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F3819">
        <w:rPr>
          <w:rFonts w:ascii="Bookman Old Style" w:hAnsi="Bookman Old Style"/>
          <w:bCs/>
          <w:i/>
          <w:sz w:val="24"/>
          <w:szCs w:val="24"/>
          <w:lang w:val="en-US"/>
        </w:rPr>
        <w:t xml:space="preserve">All judicial matters pending with New Delhi Bench presided by Shri </w:t>
      </w:r>
      <w:proofErr w:type="spellStart"/>
      <w:r w:rsidRPr="002F3819">
        <w:rPr>
          <w:rFonts w:ascii="Bookman Old Style" w:hAnsi="Bookman Old Style"/>
          <w:bCs/>
          <w:i/>
          <w:sz w:val="24"/>
          <w:szCs w:val="24"/>
          <w:lang w:val="en-US"/>
        </w:rPr>
        <w:t>Dhan</w:t>
      </w:r>
      <w:proofErr w:type="spellEnd"/>
      <w:r w:rsidRPr="002F381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Raj, Member (Technical) excepting those in which order are reserved after hearing, shall stand transferred to the Bench of Shri B.S.V. Prakash Kumar, Member, (Judicial) New Delhi Bench.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details, </w:t>
      </w:r>
      <w:hyperlink r:id="rId5" w:history="1">
        <w:r w:rsidRPr="002F381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624E0E" w:rsidRPr="002F3819" w:rsidRDefault="00624E0E" w:rsidP="002F3819">
      <w:pPr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93731" w:rsidRPr="00367137" w:rsidRDefault="00493731" w:rsidP="00493731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E8414D" w:rsidRDefault="00493731" w:rsidP="0049373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>Debitum</w:t>
      </w:r>
      <w:proofErr w:type="spellEnd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in </w:t>
      </w:r>
      <w:proofErr w:type="spellStart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>praesenti</w:t>
      </w:r>
      <w:proofErr w:type="spellEnd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</w:t>
      </w:r>
      <w:proofErr w:type="spellStart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>solvendum</w:t>
      </w:r>
      <w:proofErr w:type="spellEnd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in </w:t>
      </w:r>
      <w:proofErr w:type="spellStart"/>
      <w:r w:rsidR="00206AC0" w:rsidRPr="00206AC0">
        <w:rPr>
          <w:rFonts w:ascii="Bookman Old Style" w:hAnsi="Bookman Old Style"/>
          <w:b/>
          <w:bCs/>
          <w:i/>
          <w:iCs/>
          <w:sz w:val="24"/>
          <w:szCs w:val="24"/>
        </w:rPr>
        <w:t>futuro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493731" w:rsidRPr="00493731" w:rsidRDefault="00206AC0" w:rsidP="00493731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06AC0">
        <w:rPr>
          <w:rFonts w:ascii="Bookman Old Style" w:hAnsi="Bookman Old Style"/>
          <w:sz w:val="24"/>
          <w:szCs w:val="24"/>
        </w:rPr>
        <w:t>A present debt is to be discharged in the future</w:t>
      </w:r>
      <w:r w:rsidR="00392A85" w:rsidRPr="00392A85">
        <w:rPr>
          <w:rFonts w:ascii="Bookman Old Style" w:hAnsi="Bookman Old Style"/>
          <w:sz w:val="24"/>
          <w:szCs w:val="24"/>
        </w:rPr>
        <w:t>.</w:t>
      </w:r>
    </w:p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206AC0"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10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206AC0"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01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206AC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06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114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206AC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58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30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5)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206AC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61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89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+ 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206AC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22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206AC0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990DC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Audit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(A Panacea for Good Governance)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March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2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7,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6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Pr="002738D3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7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8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</w:pPr>
    </w:p>
    <w:p w:rsidR="00990DC0" w:rsidRDefault="00990DC0" w:rsidP="007C1B91">
      <w:pPr>
        <w:spacing w:before="120" w:after="120"/>
        <w:jc w:val="both"/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9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0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49CF"/>
    <w:rsid w:val="000133F2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494B"/>
    <w:rsid w:val="0011579B"/>
    <w:rsid w:val="00120CDE"/>
    <w:rsid w:val="001229ED"/>
    <w:rsid w:val="00132074"/>
    <w:rsid w:val="0013469F"/>
    <w:rsid w:val="00140DFE"/>
    <w:rsid w:val="001427BE"/>
    <w:rsid w:val="001556EB"/>
    <w:rsid w:val="00167E1C"/>
    <w:rsid w:val="00186ABB"/>
    <w:rsid w:val="001A1E05"/>
    <w:rsid w:val="001A6188"/>
    <w:rsid w:val="001B1139"/>
    <w:rsid w:val="001B49AD"/>
    <w:rsid w:val="00206AC0"/>
    <w:rsid w:val="00221EB8"/>
    <w:rsid w:val="002355D8"/>
    <w:rsid w:val="00242521"/>
    <w:rsid w:val="00244BAB"/>
    <w:rsid w:val="002517DB"/>
    <w:rsid w:val="0026138E"/>
    <w:rsid w:val="002738D3"/>
    <w:rsid w:val="00274C7B"/>
    <w:rsid w:val="00292E60"/>
    <w:rsid w:val="00295070"/>
    <w:rsid w:val="00295435"/>
    <w:rsid w:val="00295F28"/>
    <w:rsid w:val="002B5A46"/>
    <w:rsid w:val="002B6D91"/>
    <w:rsid w:val="002D39A7"/>
    <w:rsid w:val="002F1C48"/>
    <w:rsid w:val="002F2E93"/>
    <w:rsid w:val="002F3819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67137"/>
    <w:rsid w:val="00374633"/>
    <w:rsid w:val="00392A85"/>
    <w:rsid w:val="00397CCB"/>
    <w:rsid w:val="003A0373"/>
    <w:rsid w:val="003A27E2"/>
    <w:rsid w:val="003D3B55"/>
    <w:rsid w:val="003E2DE2"/>
    <w:rsid w:val="003E3AD0"/>
    <w:rsid w:val="003E5C08"/>
    <w:rsid w:val="00410DA6"/>
    <w:rsid w:val="00427D48"/>
    <w:rsid w:val="004404A0"/>
    <w:rsid w:val="00465D84"/>
    <w:rsid w:val="00467299"/>
    <w:rsid w:val="00480CDD"/>
    <w:rsid w:val="00483112"/>
    <w:rsid w:val="00493731"/>
    <w:rsid w:val="004A2AE9"/>
    <w:rsid w:val="004A5A65"/>
    <w:rsid w:val="004D3CD5"/>
    <w:rsid w:val="005003CB"/>
    <w:rsid w:val="00510392"/>
    <w:rsid w:val="0052563D"/>
    <w:rsid w:val="005266D4"/>
    <w:rsid w:val="005430EF"/>
    <w:rsid w:val="00547020"/>
    <w:rsid w:val="00567AD0"/>
    <w:rsid w:val="005853F9"/>
    <w:rsid w:val="005D4D08"/>
    <w:rsid w:val="005D6A0D"/>
    <w:rsid w:val="005D79DA"/>
    <w:rsid w:val="005E4BFF"/>
    <w:rsid w:val="00605956"/>
    <w:rsid w:val="0061732C"/>
    <w:rsid w:val="00624E0E"/>
    <w:rsid w:val="006726A6"/>
    <w:rsid w:val="006814F9"/>
    <w:rsid w:val="006840F8"/>
    <w:rsid w:val="006A5D5A"/>
    <w:rsid w:val="006A72D0"/>
    <w:rsid w:val="006F737B"/>
    <w:rsid w:val="0070445B"/>
    <w:rsid w:val="0074118E"/>
    <w:rsid w:val="00752D96"/>
    <w:rsid w:val="00755FA2"/>
    <w:rsid w:val="00763762"/>
    <w:rsid w:val="00764CC9"/>
    <w:rsid w:val="007660DA"/>
    <w:rsid w:val="00787C68"/>
    <w:rsid w:val="007902D9"/>
    <w:rsid w:val="007A3C3F"/>
    <w:rsid w:val="007C1B91"/>
    <w:rsid w:val="007D0AD5"/>
    <w:rsid w:val="007D7896"/>
    <w:rsid w:val="007F0E54"/>
    <w:rsid w:val="007F18EC"/>
    <w:rsid w:val="007F7848"/>
    <w:rsid w:val="0082411B"/>
    <w:rsid w:val="0083550B"/>
    <w:rsid w:val="00841744"/>
    <w:rsid w:val="0085187D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60800"/>
    <w:rsid w:val="00990DC0"/>
    <w:rsid w:val="0099167C"/>
    <w:rsid w:val="0099363D"/>
    <w:rsid w:val="009A6D86"/>
    <w:rsid w:val="009B05D5"/>
    <w:rsid w:val="009B3A84"/>
    <w:rsid w:val="009D0C1B"/>
    <w:rsid w:val="009E5742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53C84"/>
    <w:rsid w:val="00A610F1"/>
    <w:rsid w:val="00A80F01"/>
    <w:rsid w:val="00A84F97"/>
    <w:rsid w:val="00A90329"/>
    <w:rsid w:val="00A94CF9"/>
    <w:rsid w:val="00AB207A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A45C3"/>
    <w:rsid w:val="00BF02E0"/>
    <w:rsid w:val="00C02CB0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D0213"/>
    <w:rsid w:val="00CD3930"/>
    <w:rsid w:val="00CF64DA"/>
    <w:rsid w:val="00D130FC"/>
    <w:rsid w:val="00D17EFA"/>
    <w:rsid w:val="00D470A4"/>
    <w:rsid w:val="00D629D0"/>
    <w:rsid w:val="00D757E5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55412"/>
    <w:rsid w:val="00E64E63"/>
    <w:rsid w:val="00E72AE4"/>
    <w:rsid w:val="00E83D87"/>
    <w:rsid w:val="00E8414D"/>
    <w:rsid w:val="00E8624A"/>
    <w:rsid w:val="00E9779B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  <w:rsid w:val="00FD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modules/Dubai%20Glob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Portals/86/Ketan/Announcement_GRKF_Mar%2026%20to%2028,%20201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modules/NATIONAL%20SEMINAR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lb.nic.in/orders/Order%20Dated_20.03.2015%20.pdf" TargetMode="External"/><Relationship Id="rId10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WebModules/PCS/Guidelines%20pertaining%20to%20P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178</cp:revision>
  <dcterms:created xsi:type="dcterms:W3CDTF">2015-02-26T04:05:00Z</dcterms:created>
  <dcterms:modified xsi:type="dcterms:W3CDTF">2015-03-24T05:38:00Z</dcterms:modified>
</cp:coreProperties>
</file>