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ECC" w:rsidRPr="00B00466" w:rsidRDefault="00EF50A6" w:rsidP="00EB2E62">
      <w:pPr>
        <w:jc w:val="center"/>
        <w:rPr>
          <w:rFonts w:ascii="Bookman Old Style" w:hAnsi="Bookman Old Style"/>
          <w:b/>
          <w:bCs/>
          <w:iCs/>
          <w:sz w:val="66"/>
          <w:szCs w:val="66"/>
          <w:lang w:val="en-US"/>
        </w:rPr>
      </w:pPr>
      <w:r w:rsidRPr="00B00466">
        <w:rPr>
          <w:rFonts w:ascii="Bookman Old Style" w:eastAsia="Calibri" w:hAnsi="Bookman Old Style" w:cs="Times New Roman"/>
          <w:b/>
          <w:bCs/>
          <w:iCs/>
          <w:sz w:val="66"/>
          <w:szCs w:val="66"/>
          <w:lang w:val="en-US"/>
        </w:rPr>
        <w:t xml:space="preserve">CS UPDATE </w:t>
      </w:r>
      <w:r w:rsidR="00EB2E62" w:rsidRPr="00B00466">
        <w:rPr>
          <w:rFonts w:ascii="Bookman Old Style" w:eastAsia="Calibri" w:hAnsi="Bookman Old Style" w:cs="Times New Roman"/>
          <w:b/>
          <w:bCs/>
          <w:iCs/>
          <w:sz w:val="66"/>
          <w:szCs w:val="66"/>
          <w:lang w:val="en-US"/>
        </w:rPr>
        <w:t xml:space="preserve">MARCH </w:t>
      </w:r>
      <w:r w:rsidR="00480CDD" w:rsidRPr="00B00466">
        <w:rPr>
          <w:rFonts w:ascii="Bookman Old Style" w:eastAsia="Calibri" w:hAnsi="Bookman Old Style" w:cs="Times New Roman"/>
          <w:b/>
          <w:bCs/>
          <w:iCs/>
          <w:sz w:val="66"/>
          <w:szCs w:val="66"/>
          <w:lang w:val="en-US"/>
        </w:rPr>
        <w:t>1</w:t>
      </w:r>
      <w:r w:rsidR="003E3AD0">
        <w:rPr>
          <w:rFonts w:ascii="Bookman Old Style" w:eastAsia="Calibri" w:hAnsi="Bookman Old Style" w:cs="Times New Roman"/>
          <w:b/>
          <w:bCs/>
          <w:iCs/>
          <w:sz w:val="66"/>
          <w:szCs w:val="66"/>
          <w:lang w:val="en-US"/>
        </w:rPr>
        <w:t>6</w:t>
      </w:r>
      <w:r w:rsidRPr="00B00466">
        <w:rPr>
          <w:rFonts w:ascii="Bookman Old Style" w:eastAsia="Calibri" w:hAnsi="Bookman Old Style" w:cs="Times New Roman"/>
          <w:b/>
          <w:bCs/>
          <w:iCs/>
          <w:sz w:val="66"/>
          <w:szCs w:val="66"/>
          <w:lang w:val="en-US"/>
        </w:rPr>
        <w:t>, 201</w:t>
      </w:r>
      <w:r w:rsidRPr="00B00466">
        <w:rPr>
          <w:rFonts w:ascii="Bookman Old Style" w:hAnsi="Bookman Old Style"/>
          <w:b/>
          <w:bCs/>
          <w:iCs/>
          <w:sz w:val="66"/>
          <w:szCs w:val="66"/>
          <w:lang w:val="en-US"/>
        </w:rPr>
        <w:t>5</w:t>
      </w:r>
    </w:p>
    <w:p w:rsidR="008D50ED" w:rsidRPr="006814F9" w:rsidRDefault="008D50ED" w:rsidP="00D130FC">
      <w:pPr>
        <w:spacing w:before="240" w:after="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r w:rsidRPr="006814F9">
        <w:rPr>
          <w:rFonts w:ascii="Bookman Old Style" w:hAnsi="Bookman Old Style"/>
          <w:bCs/>
          <w:i/>
          <w:sz w:val="24"/>
          <w:szCs w:val="24"/>
          <w:lang w:val="en-US"/>
        </w:rPr>
        <w:t>“</w:t>
      </w:r>
      <w:r w:rsidR="001229ED">
        <w:rPr>
          <w:rFonts w:ascii="Bookman Old Style" w:hAnsi="Bookman Old Style"/>
          <w:bCs/>
          <w:i/>
          <w:sz w:val="24"/>
          <w:szCs w:val="24"/>
          <w:lang w:val="en-US"/>
        </w:rPr>
        <w:t>V</w:t>
      </w:r>
      <w:r w:rsidR="001229ED" w:rsidRPr="001229ED">
        <w:rPr>
          <w:rFonts w:ascii="Bookman Old Style" w:hAnsi="Bookman Old Style"/>
          <w:bCs/>
          <w:i/>
          <w:sz w:val="24"/>
          <w:szCs w:val="24"/>
          <w:lang w:val="en-US"/>
        </w:rPr>
        <w:t>alue of a man resides in what he gives and not in what he is capable of receiving</w:t>
      </w:r>
      <w:r w:rsidR="00A90329" w:rsidRPr="006814F9">
        <w:rPr>
          <w:rFonts w:ascii="Bookman Old Style" w:hAnsi="Bookman Old Style"/>
          <w:bCs/>
          <w:i/>
          <w:sz w:val="24"/>
          <w:szCs w:val="24"/>
          <w:lang w:val="en-US"/>
        </w:rPr>
        <w:t>.</w:t>
      </w:r>
      <w:r w:rsidRPr="006814F9">
        <w:rPr>
          <w:rFonts w:ascii="Bookman Old Style" w:hAnsi="Bookman Old Style"/>
          <w:bCs/>
          <w:i/>
          <w:sz w:val="24"/>
          <w:szCs w:val="24"/>
          <w:lang w:val="en-US"/>
        </w:rPr>
        <w:t>”</w:t>
      </w:r>
    </w:p>
    <w:p w:rsidR="00DE7760" w:rsidRPr="006814F9" w:rsidRDefault="001229ED" w:rsidP="002355D8">
      <w:pPr>
        <w:pStyle w:val="ListParagraph"/>
        <w:numPr>
          <w:ilvl w:val="0"/>
          <w:numId w:val="6"/>
        </w:numPr>
        <w:spacing w:after="240" w:line="240" w:lineRule="auto"/>
        <w:jc w:val="right"/>
        <w:rPr>
          <w:rFonts w:ascii="Bookman Old Style" w:hAnsi="Bookman Old Style"/>
          <w:sz w:val="24"/>
          <w:szCs w:val="24"/>
        </w:rPr>
      </w:pPr>
      <w:r w:rsidRPr="001229ED">
        <w:rPr>
          <w:rFonts w:ascii="Bookman Old Style" w:hAnsi="Bookman Old Style"/>
          <w:sz w:val="24"/>
          <w:szCs w:val="24"/>
        </w:rPr>
        <w:t>Albert Einstein</w:t>
      </w:r>
    </w:p>
    <w:p w:rsidR="00480CDD" w:rsidRDefault="00480CDD" w:rsidP="004404A0">
      <w:pPr>
        <w:spacing w:before="480" w:after="360"/>
        <w:rPr>
          <w:rFonts w:ascii="Bookman Old Style" w:hAnsi="Bookman Old Style"/>
          <w:b/>
          <w:bCs/>
          <w:sz w:val="30"/>
          <w:szCs w:val="30"/>
          <w:lang w:val="en-US"/>
        </w:rPr>
      </w:pPr>
      <w:r w:rsidRPr="00480CDD">
        <w:rPr>
          <w:rFonts w:ascii="Bookman Old Style" w:hAnsi="Bookman Old Style"/>
          <w:b/>
          <w:bCs/>
          <w:sz w:val="30"/>
          <w:szCs w:val="30"/>
          <w:lang w:val="en-US"/>
        </w:rPr>
        <w:t>Regulatory Update</w:t>
      </w:r>
    </w:p>
    <w:p w:rsidR="003E3AD0" w:rsidRPr="003E3AD0" w:rsidRDefault="003E3AD0" w:rsidP="003E3AD0">
      <w:pPr>
        <w:spacing w:before="480" w:after="0"/>
        <w:rPr>
          <w:rFonts w:ascii="Bookman Old Style" w:hAnsi="Bookman Old Style"/>
          <w:b/>
          <w:bCs/>
          <w:sz w:val="24"/>
          <w:szCs w:val="24"/>
          <w:lang w:val="en-US"/>
        </w:rPr>
      </w:pPr>
      <w:r w:rsidRPr="003E3AD0">
        <w:rPr>
          <w:rFonts w:ascii="Bookman Old Style" w:hAnsi="Bookman Old Style"/>
          <w:b/>
          <w:bCs/>
          <w:sz w:val="24"/>
          <w:szCs w:val="24"/>
          <w:lang w:val="en-US"/>
        </w:rPr>
        <w:t>Ministry of Commerce &amp; Industry</w:t>
      </w:r>
    </w:p>
    <w:p w:rsidR="00A17599" w:rsidRPr="003E3AD0" w:rsidRDefault="003E3AD0" w:rsidP="003E3AD0">
      <w:pPr>
        <w:spacing w:before="120" w:after="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r w:rsidRPr="003E3AD0">
        <w:rPr>
          <w:rFonts w:ascii="Bookman Old Style" w:hAnsi="Bookman Old Style"/>
          <w:bCs/>
          <w:i/>
          <w:sz w:val="24"/>
          <w:szCs w:val="24"/>
          <w:lang w:val="en-US"/>
        </w:rPr>
        <w:t xml:space="preserve">Department of Industrial Policy &amp; Promotion 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(DIPP) </w:t>
      </w:r>
      <w:r w:rsidRPr="003E3AD0">
        <w:rPr>
          <w:rFonts w:ascii="Bookman Old Style" w:hAnsi="Bookman Old Style"/>
          <w:bCs/>
          <w:i/>
          <w:sz w:val="24"/>
          <w:szCs w:val="24"/>
          <w:lang w:val="en-US"/>
        </w:rPr>
        <w:t>issued Clarification on Press Note 10 of 2014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relating to FDI. For details, </w:t>
      </w:r>
      <w:hyperlink r:id="rId5" w:history="1">
        <w:r w:rsidRPr="003E3AD0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A17599" w:rsidRDefault="00374633" w:rsidP="003151F1">
      <w:pPr>
        <w:spacing w:before="600" w:after="0"/>
        <w:jc w:val="both"/>
        <w:rPr>
          <w:rFonts w:ascii="Bookman Old Style" w:hAnsi="Bookman Old Style"/>
          <w:b/>
          <w:bCs/>
          <w:sz w:val="24"/>
          <w:szCs w:val="24"/>
          <w:lang w:val="en-US"/>
        </w:rPr>
      </w:pPr>
      <w:r>
        <w:rPr>
          <w:rFonts w:ascii="Bookman Old Style" w:hAnsi="Bookman Old Style"/>
          <w:b/>
          <w:bCs/>
          <w:sz w:val="24"/>
          <w:szCs w:val="24"/>
          <w:lang w:val="en-US"/>
        </w:rPr>
        <w:t>Reserve Bank of India (RBI)</w:t>
      </w:r>
    </w:p>
    <w:p w:rsidR="00374633" w:rsidRPr="00374633" w:rsidRDefault="00374633" w:rsidP="00A17599">
      <w:pPr>
        <w:spacing w:before="120" w:after="0"/>
        <w:jc w:val="both"/>
        <w:rPr>
          <w:rFonts w:ascii="Bookman Old Style" w:hAnsi="Bookman Old Style"/>
          <w:b/>
          <w:bCs/>
          <w:i/>
          <w:sz w:val="24"/>
          <w:szCs w:val="24"/>
          <w:lang w:val="en-US"/>
        </w:rPr>
      </w:pPr>
      <w:r>
        <w:rPr>
          <w:rFonts w:ascii="Bookman Old Style" w:hAnsi="Bookman Old Style"/>
          <w:b/>
          <w:bCs/>
          <w:i/>
          <w:sz w:val="24"/>
          <w:szCs w:val="24"/>
          <w:lang w:val="en-US"/>
        </w:rPr>
        <w:t>C</w:t>
      </w:r>
      <w:r w:rsidRPr="00374633">
        <w:rPr>
          <w:rFonts w:ascii="Bookman Old Style" w:hAnsi="Bookman Old Style"/>
          <w:b/>
          <w:bCs/>
          <w:i/>
          <w:sz w:val="24"/>
          <w:szCs w:val="24"/>
          <w:lang w:val="en-US"/>
        </w:rPr>
        <w:t xml:space="preserve">larification on Know your Customer (KYC) </w:t>
      </w:r>
      <w:r>
        <w:rPr>
          <w:rFonts w:ascii="Bookman Old Style" w:hAnsi="Bookman Old Style"/>
          <w:b/>
          <w:bCs/>
          <w:i/>
          <w:sz w:val="24"/>
          <w:szCs w:val="24"/>
          <w:lang w:val="en-US"/>
        </w:rPr>
        <w:t>G</w:t>
      </w:r>
      <w:r w:rsidRPr="00374633">
        <w:rPr>
          <w:rFonts w:ascii="Bookman Old Style" w:hAnsi="Bookman Old Style"/>
          <w:b/>
          <w:bCs/>
          <w:i/>
          <w:sz w:val="24"/>
          <w:szCs w:val="24"/>
          <w:lang w:val="en-US"/>
        </w:rPr>
        <w:t>uidelines - accounts of proprietary concerns</w:t>
      </w:r>
    </w:p>
    <w:p w:rsidR="00374633" w:rsidRDefault="00374633" w:rsidP="00A17599">
      <w:pPr>
        <w:spacing w:before="120" w:after="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r>
        <w:rPr>
          <w:rFonts w:ascii="Bookman Old Style" w:hAnsi="Bookman Old Style"/>
          <w:bCs/>
          <w:i/>
          <w:sz w:val="24"/>
          <w:szCs w:val="24"/>
          <w:lang w:val="en-US"/>
        </w:rPr>
        <w:t>The RBI clarified that if b</w:t>
      </w:r>
      <w:r w:rsidRPr="00374633">
        <w:rPr>
          <w:rFonts w:ascii="Bookman Old Style" w:hAnsi="Bookman Old Style"/>
          <w:bCs/>
          <w:i/>
          <w:sz w:val="24"/>
          <w:szCs w:val="24"/>
          <w:lang w:val="en-US"/>
        </w:rPr>
        <w:t xml:space="preserve">anks are satisfied that it is not possible 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for </w:t>
      </w:r>
      <w:r w:rsidRPr="00374633">
        <w:rPr>
          <w:rFonts w:ascii="Bookman Old Style" w:hAnsi="Bookman Old Style"/>
          <w:bCs/>
          <w:i/>
          <w:sz w:val="24"/>
          <w:szCs w:val="24"/>
          <w:lang w:val="en-US"/>
        </w:rPr>
        <w:t>sole proprietary firms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</w:t>
      </w:r>
      <w:r w:rsidRPr="00374633">
        <w:rPr>
          <w:rFonts w:ascii="Bookman Old Style" w:hAnsi="Bookman Old Style"/>
          <w:bCs/>
          <w:i/>
          <w:sz w:val="24"/>
          <w:szCs w:val="24"/>
          <w:lang w:val="en-US"/>
        </w:rPr>
        <w:t>to furnish two documents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</w:t>
      </w:r>
      <w:r w:rsidRPr="00374633">
        <w:rPr>
          <w:rFonts w:ascii="Bookman Old Style" w:hAnsi="Bookman Old Style"/>
          <w:bCs/>
          <w:i/>
          <w:sz w:val="24"/>
          <w:szCs w:val="24"/>
          <w:lang w:val="en-US"/>
        </w:rPr>
        <w:t xml:space="preserve">as activity proof, 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>the banks have</w:t>
      </w:r>
      <w:r w:rsidRPr="00374633">
        <w:rPr>
          <w:rFonts w:ascii="Bookman Old Style" w:hAnsi="Bookman Old Style"/>
          <w:bCs/>
          <w:i/>
          <w:sz w:val="24"/>
          <w:szCs w:val="24"/>
          <w:lang w:val="en-US"/>
        </w:rPr>
        <w:t xml:space="preserve"> discretion to accept only one of those documents as activity proof.</w:t>
      </w:r>
    </w:p>
    <w:p w:rsidR="00A17599" w:rsidRDefault="00374633" w:rsidP="00A17599">
      <w:pPr>
        <w:spacing w:before="120" w:after="0"/>
        <w:jc w:val="both"/>
      </w:pP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RBI further </w:t>
      </w:r>
      <w:r w:rsidRPr="00374633">
        <w:rPr>
          <w:rFonts w:ascii="Bookman Old Style" w:hAnsi="Bookman Old Style"/>
          <w:bCs/>
          <w:i/>
          <w:sz w:val="24"/>
          <w:szCs w:val="24"/>
          <w:lang w:val="en-US"/>
        </w:rPr>
        <w:t xml:space="preserve">clarified 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>t</w:t>
      </w:r>
      <w:r w:rsidRPr="00374633">
        <w:rPr>
          <w:rFonts w:ascii="Bookman Old Style" w:hAnsi="Bookman Old Style"/>
          <w:bCs/>
          <w:i/>
          <w:sz w:val="24"/>
          <w:szCs w:val="24"/>
          <w:lang w:val="en-US"/>
        </w:rPr>
        <w:t xml:space="preserve">hat the license/certificate of practice issued in the name of the proprietary concern by any professional body incorporated under a statute, 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to be taken </w:t>
      </w:r>
      <w:r w:rsidRPr="00374633">
        <w:rPr>
          <w:rFonts w:ascii="Bookman Old Style" w:hAnsi="Bookman Old Style"/>
          <w:bCs/>
          <w:i/>
          <w:sz w:val="24"/>
          <w:szCs w:val="24"/>
          <w:lang w:val="en-US"/>
        </w:rPr>
        <w:t>as one of the documents to prove the activity of the proprietary concern</w:t>
      </w:r>
      <w:r w:rsidR="00167E1C">
        <w:rPr>
          <w:rFonts w:ascii="Bookman Old Style" w:hAnsi="Bookman Old Style"/>
          <w:bCs/>
          <w:i/>
          <w:sz w:val="24"/>
          <w:szCs w:val="24"/>
          <w:lang w:val="en-US"/>
        </w:rPr>
        <w:t xml:space="preserve">. For details, </w:t>
      </w:r>
      <w:hyperlink r:id="rId6" w:history="1">
        <w:r w:rsidR="00167E1C" w:rsidRPr="00167E1C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374633" w:rsidRDefault="00374633" w:rsidP="00A17599">
      <w:pPr>
        <w:spacing w:before="120" w:after="0"/>
        <w:jc w:val="both"/>
      </w:pPr>
    </w:p>
    <w:p w:rsidR="00374633" w:rsidRDefault="00374633" w:rsidP="00374633">
      <w:pPr>
        <w:spacing w:before="120" w:after="0"/>
        <w:jc w:val="both"/>
        <w:rPr>
          <w:rFonts w:ascii="Bookman Old Style" w:hAnsi="Bookman Old Style"/>
          <w:b/>
          <w:bCs/>
          <w:i/>
          <w:sz w:val="24"/>
          <w:szCs w:val="24"/>
          <w:lang w:val="en-US"/>
        </w:rPr>
      </w:pPr>
      <w:r w:rsidRPr="00374633">
        <w:rPr>
          <w:rFonts w:ascii="Bookman Old Style" w:hAnsi="Bookman Old Style"/>
          <w:b/>
          <w:bCs/>
          <w:i/>
          <w:sz w:val="24"/>
          <w:szCs w:val="24"/>
          <w:lang w:val="en-US"/>
        </w:rPr>
        <w:t>Priority Sector Lending - Persons with Disabilities (</w:t>
      </w:r>
      <w:proofErr w:type="spellStart"/>
      <w:r w:rsidRPr="00374633">
        <w:rPr>
          <w:rFonts w:ascii="Bookman Old Style" w:hAnsi="Bookman Old Style"/>
          <w:b/>
          <w:bCs/>
          <w:i/>
          <w:sz w:val="24"/>
          <w:szCs w:val="24"/>
          <w:lang w:val="en-US"/>
        </w:rPr>
        <w:t>PwD</w:t>
      </w:r>
      <w:proofErr w:type="spellEnd"/>
      <w:r w:rsidRPr="00374633">
        <w:rPr>
          <w:rFonts w:ascii="Bookman Old Style" w:hAnsi="Bookman Old Style"/>
          <w:b/>
          <w:bCs/>
          <w:i/>
          <w:sz w:val="24"/>
          <w:szCs w:val="24"/>
          <w:lang w:val="en-US"/>
        </w:rPr>
        <w:t>) – Inclusion under Weaker Sections</w:t>
      </w:r>
    </w:p>
    <w:p w:rsidR="00374633" w:rsidRDefault="00374633" w:rsidP="00374633">
      <w:pPr>
        <w:spacing w:before="120" w:after="0"/>
        <w:jc w:val="both"/>
        <w:rPr>
          <w:rFonts w:ascii="Bookman Old Style" w:hAnsi="Bookman Old Style"/>
          <w:bCs/>
          <w:i/>
          <w:color w:val="FF0000"/>
          <w:sz w:val="24"/>
          <w:szCs w:val="24"/>
          <w:lang w:val="en-US"/>
        </w:rPr>
      </w:pPr>
      <w:r w:rsidRPr="00374633">
        <w:rPr>
          <w:rFonts w:ascii="Bookman Old Style" w:hAnsi="Bookman Old Style"/>
          <w:bCs/>
          <w:i/>
          <w:sz w:val="24"/>
          <w:szCs w:val="24"/>
          <w:lang w:val="en-US"/>
        </w:rPr>
        <w:t>RBI decided that priority sector loans to Persons with Disabilities will be eligible for classification under Weaker Sections category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. For details, </w:t>
      </w:r>
      <w:hyperlink r:id="rId7" w:history="1">
        <w:r w:rsidRPr="00374633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374633" w:rsidRDefault="00374633" w:rsidP="00374633">
      <w:pPr>
        <w:spacing w:before="120" w:after="0"/>
        <w:jc w:val="both"/>
        <w:rPr>
          <w:rFonts w:ascii="Bookman Old Style" w:hAnsi="Bookman Old Style"/>
          <w:bCs/>
          <w:i/>
          <w:color w:val="FF0000"/>
          <w:sz w:val="24"/>
          <w:szCs w:val="24"/>
          <w:lang w:val="en-US"/>
        </w:rPr>
      </w:pPr>
    </w:p>
    <w:p w:rsidR="00374633" w:rsidRDefault="00374633" w:rsidP="00374633">
      <w:pPr>
        <w:spacing w:before="120" w:after="0"/>
        <w:jc w:val="both"/>
        <w:rPr>
          <w:rFonts w:ascii="Bookman Old Style" w:hAnsi="Bookman Old Style"/>
          <w:b/>
          <w:bCs/>
          <w:i/>
          <w:sz w:val="24"/>
          <w:szCs w:val="24"/>
          <w:lang w:val="en-US"/>
        </w:rPr>
      </w:pPr>
      <w:r w:rsidRPr="00374633">
        <w:rPr>
          <w:rFonts w:ascii="Bookman Old Style" w:hAnsi="Bookman Old Style"/>
          <w:b/>
          <w:bCs/>
          <w:i/>
          <w:sz w:val="24"/>
          <w:szCs w:val="24"/>
          <w:lang w:val="en-US"/>
        </w:rPr>
        <w:t>Refund of overpayment of pension to the Government Account – Recovery of excess/ wrong pension payments made to the pensioners</w:t>
      </w:r>
    </w:p>
    <w:p w:rsidR="00374633" w:rsidRPr="00374633" w:rsidRDefault="00374633" w:rsidP="00374633">
      <w:pPr>
        <w:spacing w:before="120" w:after="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r w:rsidRPr="00374633">
        <w:rPr>
          <w:rFonts w:ascii="Bookman Old Style" w:hAnsi="Bookman Old Style"/>
          <w:bCs/>
          <w:i/>
          <w:sz w:val="24"/>
          <w:szCs w:val="24"/>
          <w:lang w:val="en-US"/>
        </w:rPr>
        <w:t>RBI clarified that if the agency bank is of the view that the excess/wrong payment to the pensioner is due to errors committed by the government, they may take up the matter with full particulars of the cases with respective Government Department for a quick resolution of the matter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</w:t>
      </w:r>
      <w:r w:rsidRPr="00374633">
        <w:rPr>
          <w:rFonts w:ascii="Bookman Old Style" w:hAnsi="Bookman Old Style"/>
          <w:bCs/>
          <w:i/>
          <w:sz w:val="24"/>
          <w:szCs w:val="24"/>
          <w:lang w:val="en-US"/>
        </w:rPr>
        <w:t>without reference to the Reserve Bank of India.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For details, </w:t>
      </w:r>
      <w:hyperlink r:id="rId8" w:history="1">
        <w:r w:rsidRPr="00374633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167E1C" w:rsidRDefault="00167E1C" w:rsidP="003E3AD0">
      <w:pPr>
        <w:spacing w:before="240" w:after="240"/>
        <w:rPr>
          <w:rFonts w:ascii="Bookman Old Style" w:hAnsi="Bookman Old Style"/>
          <w:b/>
          <w:bCs/>
          <w:sz w:val="30"/>
          <w:szCs w:val="30"/>
          <w:lang w:val="en-US"/>
        </w:rPr>
      </w:pPr>
    </w:p>
    <w:p w:rsidR="00274C7B" w:rsidRDefault="00274C7B" w:rsidP="00361C66">
      <w:pPr>
        <w:spacing w:after="0"/>
        <w:rPr>
          <w:rFonts w:ascii="Bookman Old Style" w:hAnsi="Bookman Old Style"/>
          <w:b/>
          <w:bCs/>
          <w:sz w:val="30"/>
          <w:szCs w:val="30"/>
          <w:lang w:val="en-US"/>
        </w:rPr>
      </w:pPr>
      <w:r>
        <w:rPr>
          <w:rFonts w:ascii="Bookman Old Style" w:hAnsi="Bookman Old Style"/>
          <w:b/>
          <w:bCs/>
          <w:sz w:val="30"/>
          <w:szCs w:val="30"/>
          <w:lang w:val="en-US"/>
        </w:rPr>
        <w:t xml:space="preserve">Views / Suggestions Solicited </w:t>
      </w:r>
    </w:p>
    <w:p w:rsidR="003E3AD0" w:rsidRDefault="003E3AD0" w:rsidP="003E3AD0">
      <w:pPr>
        <w:spacing w:before="120" w:after="12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r w:rsidRPr="003E3AD0">
        <w:rPr>
          <w:rFonts w:ascii="Bookman Old Style" w:hAnsi="Bookman Old Style"/>
          <w:bCs/>
          <w:i/>
          <w:sz w:val="24"/>
          <w:szCs w:val="24"/>
          <w:lang w:val="en-US"/>
        </w:rPr>
        <w:t>RBI Seeks Comments on Draft Circular for Card Payments – Removal of requirement of Additional Factor of Authentication for small value card present transactions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. For Details, </w:t>
      </w:r>
      <w:hyperlink r:id="rId9" w:history="1">
        <w:r w:rsidRPr="003E3AD0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3E3AD0" w:rsidRDefault="003E3AD0" w:rsidP="003E3AD0">
      <w:pPr>
        <w:spacing w:before="120" w:after="12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</w:p>
    <w:p w:rsidR="009B3A84" w:rsidRDefault="009B3A84" w:rsidP="003E3AD0">
      <w:pPr>
        <w:spacing w:before="120" w:after="12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r w:rsidRPr="009F7828">
        <w:rPr>
          <w:rFonts w:ascii="Bookman Old Style" w:hAnsi="Bookman Old Style"/>
          <w:bCs/>
          <w:i/>
          <w:sz w:val="24"/>
          <w:szCs w:val="24"/>
          <w:lang w:val="en-US"/>
        </w:rPr>
        <w:t xml:space="preserve">Views and Suggestions solicited on </w:t>
      </w:r>
      <w:r w:rsidR="008C688D">
        <w:rPr>
          <w:rFonts w:ascii="Bookman Old Style" w:hAnsi="Bookman Old Style"/>
          <w:bCs/>
          <w:i/>
          <w:sz w:val="24"/>
          <w:szCs w:val="24"/>
          <w:lang w:val="en-US"/>
        </w:rPr>
        <w:t>“</w:t>
      </w:r>
      <w:r w:rsidR="003E3AD0">
        <w:rPr>
          <w:rFonts w:ascii="Bookman Old Style" w:hAnsi="Bookman Old Style"/>
          <w:bCs/>
          <w:i/>
          <w:sz w:val="24"/>
          <w:szCs w:val="24"/>
          <w:lang w:val="en-US"/>
        </w:rPr>
        <w:t xml:space="preserve">Draft Order on </w:t>
      </w:r>
      <w:r w:rsidR="003E3AD0" w:rsidRPr="003E3AD0">
        <w:rPr>
          <w:rFonts w:ascii="Bookman Old Style" w:hAnsi="Bookman Old Style"/>
          <w:bCs/>
          <w:i/>
          <w:sz w:val="24"/>
          <w:szCs w:val="24"/>
          <w:lang w:val="en-US"/>
        </w:rPr>
        <w:t>Framework for Revival of Micro, Small &amp; Medium Enterprises (MSMEs)</w:t>
      </w:r>
      <w:r w:rsidR="008C688D">
        <w:rPr>
          <w:rFonts w:ascii="Bookman Old Style" w:hAnsi="Bookman Old Style"/>
          <w:bCs/>
          <w:i/>
          <w:sz w:val="24"/>
          <w:szCs w:val="24"/>
          <w:lang w:val="en-US"/>
        </w:rPr>
        <w:t>”</w:t>
      </w:r>
      <w:r w:rsidRPr="009F7828">
        <w:rPr>
          <w:rFonts w:ascii="Bookman Old Style" w:hAnsi="Bookman Old Style"/>
          <w:bCs/>
          <w:i/>
          <w:sz w:val="24"/>
          <w:szCs w:val="24"/>
          <w:lang w:val="en-US"/>
        </w:rPr>
        <w:t xml:space="preserve">. For details, </w:t>
      </w:r>
      <w:hyperlink r:id="rId10" w:history="1">
        <w:r w:rsidRPr="009F7828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  <w:r w:rsidRPr="009F7828">
        <w:rPr>
          <w:rFonts w:ascii="Bookman Old Style" w:hAnsi="Bookman Old Style"/>
          <w:bCs/>
          <w:i/>
          <w:sz w:val="24"/>
          <w:szCs w:val="24"/>
          <w:lang w:val="en-US"/>
        </w:rPr>
        <w:t xml:space="preserve"> </w:t>
      </w:r>
    </w:p>
    <w:p w:rsidR="009B3A84" w:rsidRDefault="009B3A84" w:rsidP="00361C66">
      <w:pPr>
        <w:spacing w:before="120" w:after="120"/>
        <w:rPr>
          <w:rFonts w:ascii="Bookman Old Style" w:hAnsi="Bookman Old Style"/>
          <w:b/>
          <w:bCs/>
          <w:sz w:val="30"/>
          <w:szCs w:val="30"/>
          <w:lang w:val="en-US"/>
        </w:rPr>
      </w:pPr>
    </w:p>
    <w:p w:rsidR="00361C66" w:rsidRPr="00295F28" w:rsidRDefault="00361C66" w:rsidP="00361C66">
      <w:pPr>
        <w:spacing w:before="120" w:after="120"/>
        <w:rPr>
          <w:rFonts w:ascii="Bookman Old Style" w:hAnsi="Bookman Old Style"/>
          <w:sz w:val="30"/>
          <w:szCs w:val="30"/>
        </w:rPr>
      </w:pPr>
      <w:r w:rsidRPr="00295F28">
        <w:rPr>
          <w:rFonts w:ascii="Bookman Old Style" w:hAnsi="Bookman Old Style"/>
          <w:b/>
          <w:bCs/>
          <w:sz w:val="30"/>
          <w:szCs w:val="30"/>
          <w:lang w:val="en-US"/>
        </w:rPr>
        <w:t>Legal Term of the Day</w:t>
      </w:r>
      <w:r w:rsidRPr="00295F28">
        <w:rPr>
          <w:rFonts w:ascii="Bookman Old Style" w:hAnsi="Bookman Old Style"/>
          <w:sz w:val="30"/>
          <w:szCs w:val="30"/>
        </w:rPr>
        <w:t xml:space="preserve"> </w:t>
      </w:r>
    </w:p>
    <w:p w:rsidR="00361C66" w:rsidRPr="00E8414D" w:rsidRDefault="00361C66" w:rsidP="00361C66">
      <w:pPr>
        <w:spacing w:after="120"/>
        <w:jc w:val="both"/>
        <w:rPr>
          <w:rFonts w:ascii="Bookman Old Style" w:hAnsi="Bookman Old Style"/>
          <w:sz w:val="24"/>
          <w:szCs w:val="24"/>
        </w:rPr>
      </w:pPr>
      <w:r w:rsidRPr="00E8414D">
        <w:rPr>
          <w:rFonts w:ascii="Bookman Old Style" w:hAnsi="Bookman Old Style"/>
          <w:b/>
          <w:bCs/>
          <w:i/>
          <w:iCs/>
          <w:sz w:val="24"/>
          <w:szCs w:val="24"/>
          <w:lang w:val="en-US"/>
        </w:rPr>
        <w:t>“</w:t>
      </w:r>
      <w:proofErr w:type="spellStart"/>
      <w:r w:rsidR="001229ED" w:rsidRPr="001229ED">
        <w:rPr>
          <w:rFonts w:ascii="Bookman Old Style" w:hAnsi="Bookman Old Style"/>
          <w:b/>
          <w:bCs/>
          <w:i/>
          <w:iCs/>
          <w:sz w:val="24"/>
          <w:szCs w:val="24"/>
        </w:rPr>
        <w:t>Cujus</w:t>
      </w:r>
      <w:proofErr w:type="spellEnd"/>
      <w:r w:rsidR="001229ED" w:rsidRPr="001229ED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</w:t>
      </w:r>
      <w:proofErr w:type="spellStart"/>
      <w:proofErr w:type="gramStart"/>
      <w:r w:rsidR="001229ED" w:rsidRPr="001229ED">
        <w:rPr>
          <w:rFonts w:ascii="Bookman Old Style" w:hAnsi="Bookman Old Style"/>
          <w:b/>
          <w:bCs/>
          <w:i/>
          <w:iCs/>
          <w:sz w:val="24"/>
          <w:szCs w:val="24"/>
        </w:rPr>
        <w:t>est</w:t>
      </w:r>
      <w:proofErr w:type="spellEnd"/>
      <w:proofErr w:type="gramEnd"/>
      <w:r w:rsidR="001229ED" w:rsidRPr="001229ED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</w:t>
      </w:r>
      <w:proofErr w:type="spellStart"/>
      <w:r w:rsidR="001229ED" w:rsidRPr="001229ED">
        <w:rPr>
          <w:rFonts w:ascii="Bookman Old Style" w:hAnsi="Bookman Old Style"/>
          <w:b/>
          <w:bCs/>
          <w:i/>
          <w:iCs/>
          <w:sz w:val="24"/>
          <w:szCs w:val="24"/>
        </w:rPr>
        <w:t>solum</w:t>
      </w:r>
      <w:proofErr w:type="spellEnd"/>
      <w:r w:rsidR="001229ED" w:rsidRPr="001229ED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, </w:t>
      </w:r>
      <w:proofErr w:type="spellStart"/>
      <w:r w:rsidR="001229ED" w:rsidRPr="001229ED">
        <w:rPr>
          <w:rFonts w:ascii="Bookman Old Style" w:hAnsi="Bookman Old Style"/>
          <w:b/>
          <w:bCs/>
          <w:i/>
          <w:iCs/>
          <w:sz w:val="24"/>
          <w:szCs w:val="24"/>
        </w:rPr>
        <w:t>ejus</w:t>
      </w:r>
      <w:proofErr w:type="spellEnd"/>
      <w:r w:rsidR="001229ED" w:rsidRPr="001229ED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</w:t>
      </w:r>
      <w:proofErr w:type="spellStart"/>
      <w:r w:rsidR="001229ED" w:rsidRPr="001229ED">
        <w:rPr>
          <w:rFonts w:ascii="Bookman Old Style" w:hAnsi="Bookman Old Style"/>
          <w:b/>
          <w:bCs/>
          <w:i/>
          <w:iCs/>
          <w:sz w:val="24"/>
          <w:szCs w:val="24"/>
        </w:rPr>
        <w:t>est</w:t>
      </w:r>
      <w:proofErr w:type="spellEnd"/>
      <w:r w:rsidR="001229ED" w:rsidRPr="001229ED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</w:t>
      </w:r>
      <w:proofErr w:type="spellStart"/>
      <w:r w:rsidR="001229ED" w:rsidRPr="001229ED">
        <w:rPr>
          <w:rFonts w:ascii="Bookman Old Style" w:hAnsi="Bookman Old Style"/>
          <w:b/>
          <w:bCs/>
          <w:i/>
          <w:iCs/>
          <w:sz w:val="24"/>
          <w:szCs w:val="24"/>
        </w:rPr>
        <w:t>usque</w:t>
      </w:r>
      <w:proofErr w:type="spellEnd"/>
      <w:r w:rsidR="001229ED" w:rsidRPr="001229ED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ad </w:t>
      </w:r>
      <w:proofErr w:type="spellStart"/>
      <w:r w:rsidR="001229ED" w:rsidRPr="001229ED">
        <w:rPr>
          <w:rFonts w:ascii="Bookman Old Style" w:hAnsi="Bookman Old Style"/>
          <w:b/>
          <w:bCs/>
          <w:i/>
          <w:iCs/>
          <w:sz w:val="24"/>
          <w:szCs w:val="24"/>
        </w:rPr>
        <w:t>coelam</w:t>
      </w:r>
      <w:proofErr w:type="spellEnd"/>
      <w:r w:rsidR="001229ED" w:rsidRPr="001229ED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; et ad </w:t>
      </w:r>
      <w:proofErr w:type="spellStart"/>
      <w:r w:rsidR="001229ED" w:rsidRPr="001229ED">
        <w:rPr>
          <w:rFonts w:ascii="Bookman Old Style" w:hAnsi="Bookman Old Style"/>
          <w:b/>
          <w:bCs/>
          <w:i/>
          <w:iCs/>
          <w:sz w:val="24"/>
          <w:szCs w:val="24"/>
        </w:rPr>
        <w:t>inferos</w:t>
      </w:r>
      <w:proofErr w:type="spellEnd"/>
      <w:r w:rsidRPr="00E8414D">
        <w:rPr>
          <w:rFonts w:ascii="Bookman Old Style" w:hAnsi="Bookman Old Style"/>
          <w:b/>
          <w:bCs/>
          <w:i/>
          <w:iCs/>
          <w:sz w:val="24"/>
          <w:szCs w:val="24"/>
          <w:lang w:val="en-US"/>
        </w:rPr>
        <w:t>”</w:t>
      </w:r>
      <w:r w:rsidRPr="00E8414D">
        <w:rPr>
          <w:rFonts w:ascii="Bookman Old Style" w:hAnsi="Bookman Old Style"/>
          <w:i/>
          <w:iCs/>
          <w:sz w:val="24"/>
          <w:szCs w:val="24"/>
        </w:rPr>
        <w:t xml:space="preserve"> </w:t>
      </w:r>
    </w:p>
    <w:p w:rsidR="00361C66" w:rsidRDefault="001229ED" w:rsidP="00361C66">
      <w:pPr>
        <w:spacing w:after="240"/>
        <w:rPr>
          <w:rFonts w:ascii="Bookman Old Style" w:hAnsi="Bookman Old Style"/>
        </w:rPr>
      </w:pPr>
      <w:r w:rsidRPr="001229ED">
        <w:rPr>
          <w:rFonts w:ascii="Bookman Old Style" w:hAnsi="Bookman Old Style"/>
          <w:sz w:val="24"/>
          <w:szCs w:val="24"/>
        </w:rPr>
        <w:t>He who owns the soil owns it up to the sky; and to its depth.</w:t>
      </w:r>
    </w:p>
    <w:p w:rsidR="00361C66" w:rsidRDefault="00361C66" w:rsidP="00361C66">
      <w:pPr>
        <w:spacing w:before="240" w:after="120"/>
        <w:rPr>
          <w:rFonts w:ascii="Bookman Old Style" w:hAnsi="Bookman Old Style"/>
          <w:b/>
          <w:bCs/>
          <w:sz w:val="30"/>
          <w:szCs w:val="30"/>
          <w:lang w:val="en-US"/>
        </w:rPr>
      </w:pPr>
    </w:p>
    <w:p w:rsidR="00361C66" w:rsidRDefault="00361C66" w:rsidP="00361C66">
      <w:pPr>
        <w:spacing w:before="240" w:after="120"/>
        <w:rPr>
          <w:rFonts w:ascii="Bookman Old Style" w:hAnsi="Bookman Old Style"/>
          <w:b/>
          <w:bCs/>
          <w:sz w:val="30"/>
          <w:szCs w:val="30"/>
          <w:lang w:val="en-US"/>
        </w:rPr>
      </w:pPr>
      <w:r>
        <w:rPr>
          <w:rFonts w:ascii="Bookman Old Style" w:hAnsi="Bookman Old Style"/>
          <w:b/>
          <w:bCs/>
          <w:sz w:val="30"/>
          <w:szCs w:val="30"/>
          <w:lang w:val="en-US"/>
        </w:rPr>
        <w:t xml:space="preserve">Market Update </w:t>
      </w:r>
      <w:r w:rsidRPr="00312A8A">
        <w:rPr>
          <w:rFonts w:ascii="Bookman Old Style" w:hAnsi="Bookman Old Style"/>
          <w:b/>
          <w:bCs/>
          <w:sz w:val="10"/>
          <w:szCs w:val="10"/>
          <w:lang w:val="en-US"/>
        </w:rPr>
        <w:t xml:space="preserve">at </w:t>
      </w:r>
      <w:r w:rsidR="002F2E93">
        <w:rPr>
          <w:rFonts w:ascii="Bookman Old Style" w:hAnsi="Bookman Old Style"/>
          <w:b/>
          <w:bCs/>
          <w:sz w:val="10"/>
          <w:szCs w:val="10"/>
          <w:lang w:val="en-US"/>
        </w:rPr>
        <w:t>10</w:t>
      </w:r>
      <w:r w:rsidRPr="00312A8A">
        <w:rPr>
          <w:rFonts w:ascii="Bookman Old Style" w:hAnsi="Bookman Old Style"/>
          <w:b/>
          <w:bCs/>
          <w:sz w:val="10"/>
          <w:szCs w:val="10"/>
          <w:lang w:val="en-US"/>
        </w:rPr>
        <w:t>.</w:t>
      </w:r>
      <w:r w:rsidR="00167E1C">
        <w:rPr>
          <w:rFonts w:ascii="Bookman Old Style" w:hAnsi="Bookman Old Style"/>
          <w:b/>
          <w:bCs/>
          <w:sz w:val="10"/>
          <w:szCs w:val="10"/>
          <w:lang w:val="en-US"/>
        </w:rPr>
        <w:t>0</w:t>
      </w:r>
      <w:r w:rsidR="002F2E93">
        <w:rPr>
          <w:rFonts w:ascii="Bookman Old Style" w:hAnsi="Bookman Old Style"/>
          <w:b/>
          <w:bCs/>
          <w:sz w:val="10"/>
          <w:szCs w:val="10"/>
          <w:lang w:val="en-US"/>
        </w:rPr>
        <w:t>2</w:t>
      </w:r>
      <w:r>
        <w:rPr>
          <w:rFonts w:ascii="Bookman Old Style" w:hAnsi="Bookman Old Style"/>
          <w:b/>
          <w:bCs/>
          <w:sz w:val="10"/>
          <w:szCs w:val="10"/>
          <w:lang w:val="en-US"/>
        </w:rPr>
        <w:t xml:space="preserve"> </w:t>
      </w:r>
      <w:r w:rsidR="00167E1C">
        <w:rPr>
          <w:rFonts w:ascii="Bookman Old Style" w:hAnsi="Bookman Old Style"/>
          <w:b/>
          <w:bCs/>
          <w:sz w:val="10"/>
          <w:szCs w:val="10"/>
          <w:lang w:val="en-US"/>
        </w:rPr>
        <w:t>A</w:t>
      </w:r>
      <w:r w:rsidRPr="00312A8A">
        <w:rPr>
          <w:rFonts w:ascii="Bookman Old Style" w:hAnsi="Bookman Old Style"/>
          <w:b/>
          <w:bCs/>
          <w:sz w:val="10"/>
          <w:szCs w:val="10"/>
          <w:lang w:val="en-US"/>
        </w:rPr>
        <w:t>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2551"/>
        <w:gridCol w:w="3119"/>
        <w:gridCol w:w="2210"/>
      </w:tblGrid>
      <w:tr w:rsidR="00361C66" w:rsidTr="001E5B90">
        <w:tc>
          <w:tcPr>
            <w:tcW w:w="2802" w:type="dxa"/>
          </w:tcPr>
          <w:p w:rsidR="00361C66" w:rsidRPr="00DF0624" w:rsidRDefault="00361C66" w:rsidP="001E5B90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SENSEX</w:t>
            </w:r>
          </w:p>
          <w:p w:rsidR="00361C66" w:rsidRPr="00DF0624" w:rsidRDefault="00361C66" w:rsidP="00D92B24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2</w:t>
            </w:r>
            <w:r w:rsidR="00D92B24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8433</w:t>
            </w:r>
            <w:r w:rsidR="0011579B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.</w:t>
            </w:r>
            <w:r w:rsidR="00D92B24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74</w:t>
            </w:r>
            <w:r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 xml:space="preserve"> (</w:t>
            </w:r>
            <w:r w:rsidR="00D92B24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-</w:t>
            </w:r>
            <w:r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 xml:space="preserve"> </w:t>
            </w:r>
            <w:r w:rsidR="00D92B24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69</w:t>
            </w:r>
            <w:r w:rsidR="0011579B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.</w:t>
            </w:r>
            <w:r w:rsidR="00D92B24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56</w:t>
            </w:r>
            <w:r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2551" w:type="dxa"/>
          </w:tcPr>
          <w:p w:rsidR="00361C66" w:rsidRPr="00DF0624" w:rsidRDefault="00361C66" w:rsidP="001E5B90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NIFTY</w:t>
            </w:r>
          </w:p>
          <w:p w:rsidR="00361C66" w:rsidRPr="00DF0624" w:rsidRDefault="00361C66" w:rsidP="001E5B90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</w:rPr>
              <w:t>8</w:t>
            </w:r>
            <w:r w:rsidR="00D92B24">
              <w:rPr>
                <w:rFonts w:ascii="Bookman Old Style" w:hAnsi="Bookman Old Style"/>
                <w:bCs/>
                <w:sz w:val="24"/>
                <w:szCs w:val="24"/>
              </w:rPr>
              <w:t>626</w:t>
            </w: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.</w:t>
            </w:r>
            <w:r w:rsidR="00D92B24">
              <w:rPr>
                <w:rFonts w:ascii="Bookman Old Style" w:hAnsi="Bookman Old Style"/>
                <w:bCs/>
                <w:sz w:val="24"/>
                <w:szCs w:val="24"/>
              </w:rPr>
              <w:t>0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5 (</w:t>
            </w:r>
            <w:r w:rsidR="00D92B24">
              <w:rPr>
                <w:rFonts w:ascii="Bookman Old Style" w:hAnsi="Bookman Old Style"/>
                <w:bCs/>
                <w:sz w:val="24"/>
                <w:szCs w:val="24"/>
              </w:rPr>
              <w:t>-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 </w:t>
            </w:r>
            <w:r w:rsidR="00167E1C">
              <w:rPr>
                <w:rFonts w:ascii="Bookman Old Style" w:hAnsi="Bookman Old Style"/>
                <w:bCs/>
                <w:sz w:val="24"/>
                <w:szCs w:val="24"/>
              </w:rPr>
              <w:t>2</w:t>
            </w:r>
            <w:r w:rsidR="00D92B24">
              <w:rPr>
                <w:rFonts w:ascii="Bookman Old Style" w:hAnsi="Bookman Old Style"/>
                <w:bCs/>
                <w:sz w:val="24"/>
                <w:szCs w:val="24"/>
              </w:rPr>
              <w:t>1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.</w:t>
            </w:r>
            <w:r w:rsidR="00D92B24">
              <w:rPr>
                <w:rFonts w:ascii="Bookman Old Style" w:hAnsi="Bookman Old Style"/>
                <w:bCs/>
                <w:sz w:val="24"/>
                <w:szCs w:val="24"/>
              </w:rPr>
              <w:t>70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) </w:t>
            </w:r>
          </w:p>
          <w:p w:rsidR="00361C66" w:rsidRPr="00DF0624" w:rsidRDefault="00361C66" w:rsidP="001E5B90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361C66" w:rsidRPr="00DF0624" w:rsidRDefault="00361C66" w:rsidP="001E5B90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GOLD (MCX) (Rs/10g.)</w:t>
            </w:r>
          </w:p>
          <w:p w:rsidR="00361C66" w:rsidRPr="00DF0624" w:rsidRDefault="00361C66" w:rsidP="001E5B90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2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5</w:t>
            </w:r>
            <w:r w:rsidR="00D92B24">
              <w:rPr>
                <w:rFonts w:ascii="Bookman Old Style" w:hAnsi="Bookman Old Style"/>
                <w:bCs/>
                <w:sz w:val="24"/>
                <w:szCs w:val="24"/>
              </w:rPr>
              <w:t>909</w:t>
            </w: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.00</w:t>
            </w:r>
            <w:r w:rsidR="0011579B">
              <w:rPr>
                <w:rFonts w:ascii="Bookman Old Style" w:hAnsi="Bookman Old Style"/>
                <w:bCs/>
                <w:sz w:val="24"/>
                <w:szCs w:val="24"/>
              </w:rPr>
              <w:t xml:space="preserve"> (</w:t>
            </w:r>
            <w:r w:rsidR="00D92B24">
              <w:rPr>
                <w:rFonts w:ascii="Bookman Old Style" w:hAnsi="Bookman Old Style"/>
                <w:bCs/>
                <w:sz w:val="24"/>
                <w:szCs w:val="24"/>
              </w:rPr>
              <w:t>+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 </w:t>
            </w:r>
            <w:r w:rsidR="00D92B24">
              <w:rPr>
                <w:rFonts w:ascii="Bookman Old Style" w:hAnsi="Bookman Old Style"/>
                <w:bCs/>
                <w:sz w:val="24"/>
                <w:szCs w:val="24"/>
              </w:rPr>
              <w:t>254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.00)</w:t>
            </w:r>
          </w:p>
          <w:p w:rsidR="00361C66" w:rsidRPr="00DF0624" w:rsidRDefault="00361C66" w:rsidP="001E5B90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</w:pPr>
          </w:p>
        </w:tc>
        <w:tc>
          <w:tcPr>
            <w:tcW w:w="2210" w:type="dxa"/>
          </w:tcPr>
          <w:p w:rsidR="00361C66" w:rsidRPr="00DF0624" w:rsidRDefault="00361C66" w:rsidP="001E5B90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USD/INR</w:t>
            </w:r>
          </w:p>
          <w:p w:rsidR="00361C66" w:rsidRPr="00DF0624" w:rsidRDefault="00361C66" w:rsidP="001E5B90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6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2</w:t>
            </w: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.</w:t>
            </w:r>
            <w:r w:rsidR="00D92B24">
              <w:rPr>
                <w:rFonts w:ascii="Bookman Old Style" w:hAnsi="Bookman Old Style"/>
                <w:bCs/>
                <w:sz w:val="24"/>
                <w:szCs w:val="24"/>
              </w:rPr>
              <w:t>94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 (</w:t>
            </w:r>
            <w:r w:rsidR="0011579B">
              <w:rPr>
                <w:rFonts w:ascii="Bookman Old Style" w:hAnsi="Bookman Old Style"/>
                <w:bCs/>
                <w:sz w:val="24"/>
                <w:szCs w:val="24"/>
              </w:rPr>
              <w:t>-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 0.</w:t>
            </w:r>
            <w:r w:rsidR="00D92B24">
              <w:rPr>
                <w:rFonts w:ascii="Bookman Old Style" w:hAnsi="Bookman Old Style"/>
                <w:bCs/>
                <w:sz w:val="24"/>
                <w:szCs w:val="24"/>
              </w:rPr>
              <w:t>4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)</w:t>
            </w:r>
          </w:p>
          <w:p w:rsidR="00361C66" w:rsidRPr="00DF0624" w:rsidRDefault="00361C66" w:rsidP="001E5B90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</w:pPr>
          </w:p>
        </w:tc>
      </w:tr>
    </w:tbl>
    <w:p w:rsidR="00361C66" w:rsidRDefault="00361C66" w:rsidP="00361C66">
      <w:pPr>
        <w:spacing w:after="0"/>
        <w:rPr>
          <w:rFonts w:ascii="Bookman Old Style" w:hAnsi="Bookman Old Style"/>
          <w:b/>
          <w:bCs/>
          <w:sz w:val="30"/>
          <w:szCs w:val="30"/>
          <w:lang w:val="en-US"/>
        </w:rPr>
      </w:pPr>
    </w:p>
    <w:p w:rsidR="002738D3" w:rsidRPr="002738D3" w:rsidRDefault="002738D3" w:rsidP="002738D3">
      <w:pPr>
        <w:spacing w:before="120" w:after="240"/>
        <w:rPr>
          <w:rFonts w:ascii="Bookman Old Style" w:hAnsi="Bookman Old Style"/>
          <w:b/>
          <w:bCs/>
          <w:sz w:val="30"/>
          <w:szCs w:val="30"/>
          <w:lang w:val="en-US"/>
        </w:rPr>
      </w:pPr>
      <w:r w:rsidRPr="002738D3">
        <w:rPr>
          <w:rFonts w:ascii="Bookman Old Style" w:hAnsi="Bookman Old Style"/>
          <w:b/>
          <w:bCs/>
          <w:sz w:val="30"/>
          <w:szCs w:val="30"/>
          <w:lang w:val="en-US"/>
        </w:rPr>
        <w:t>ICSI Update</w:t>
      </w:r>
    </w:p>
    <w:p w:rsidR="009F7828" w:rsidRDefault="009F7828" w:rsidP="002738D3">
      <w:pPr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r w:rsidRPr="009F7828">
        <w:rPr>
          <w:rFonts w:ascii="Bookman Old Style" w:hAnsi="Bookman Old Style"/>
          <w:bCs/>
          <w:i/>
          <w:sz w:val="24"/>
          <w:szCs w:val="24"/>
          <w:lang w:val="en-US"/>
        </w:rPr>
        <w:t>Quality Review Board of ICSI invites applications for Empanelment of “Resource Persons”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. For details, </w:t>
      </w:r>
      <w:hyperlink r:id="rId11" w:history="1">
        <w:r w:rsidRPr="009F7828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2738D3" w:rsidRPr="002738D3" w:rsidRDefault="002738D3" w:rsidP="002738D3">
      <w:pPr>
        <w:spacing w:before="240" w:after="360"/>
        <w:ind w:left="36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</w:p>
    <w:p w:rsidR="00F25DBF" w:rsidRDefault="00F25DBF">
      <w:r w:rsidRPr="002738D3">
        <w:rPr>
          <w:rFonts w:ascii="Bookman Old Style" w:hAnsi="Bookman Old Style"/>
          <w:bCs/>
          <w:i/>
          <w:sz w:val="24"/>
          <w:szCs w:val="24"/>
          <w:lang w:val="en-US"/>
        </w:rPr>
        <w:t xml:space="preserve">ICSI-CCGRT </w:t>
      </w:r>
      <w:proofErr w:type="spellStart"/>
      <w:r w:rsidRPr="002738D3">
        <w:rPr>
          <w:rFonts w:ascii="Bookman Old Style" w:hAnsi="Bookman Old Style"/>
          <w:bCs/>
          <w:i/>
          <w:sz w:val="24"/>
          <w:szCs w:val="24"/>
          <w:lang w:val="en-US"/>
        </w:rPr>
        <w:t>organising</w:t>
      </w:r>
      <w:proofErr w:type="spellEnd"/>
      <w:r w:rsidRPr="002738D3">
        <w:rPr>
          <w:rFonts w:ascii="Bookman Old Style" w:hAnsi="Bookman Old Style"/>
          <w:bCs/>
          <w:i/>
          <w:sz w:val="24"/>
          <w:szCs w:val="24"/>
          <w:lang w:val="en-US"/>
        </w:rPr>
        <w:t xml:space="preserve"> a Program on </w:t>
      </w:r>
      <w:r w:rsidRPr="00F25DBF">
        <w:rPr>
          <w:rFonts w:ascii="Bookman Old Style" w:hAnsi="Bookman Old Style"/>
          <w:bCs/>
          <w:i/>
          <w:sz w:val="24"/>
          <w:szCs w:val="24"/>
          <w:lang w:val="en-US"/>
        </w:rPr>
        <w:t xml:space="preserve">Critical Issues in Companies Act, 2013 </w:t>
      </w:r>
      <w:r w:rsidRPr="002738D3">
        <w:rPr>
          <w:rFonts w:ascii="Bookman Old Style" w:hAnsi="Bookman Old Style"/>
          <w:bCs/>
          <w:i/>
          <w:sz w:val="24"/>
          <w:szCs w:val="24"/>
          <w:lang w:val="en-US"/>
        </w:rPr>
        <w:t xml:space="preserve">at </w:t>
      </w:r>
      <w:proofErr w:type="spellStart"/>
      <w:r w:rsidRPr="002738D3">
        <w:rPr>
          <w:rFonts w:ascii="Bookman Old Style" w:hAnsi="Bookman Old Style"/>
          <w:bCs/>
          <w:i/>
          <w:sz w:val="24"/>
          <w:szCs w:val="24"/>
          <w:lang w:val="en-US"/>
        </w:rPr>
        <w:t>Navi</w:t>
      </w:r>
      <w:proofErr w:type="spellEnd"/>
      <w:r w:rsidRPr="002738D3">
        <w:rPr>
          <w:rFonts w:ascii="Bookman Old Style" w:hAnsi="Bookman Old Style"/>
          <w:bCs/>
          <w:i/>
          <w:sz w:val="24"/>
          <w:szCs w:val="24"/>
          <w:lang w:val="en-US"/>
        </w:rPr>
        <w:t xml:space="preserve"> Mumbai on 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>Wednes</w:t>
      </w:r>
      <w:r w:rsidRPr="002738D3">
        <w:rPr>
          <w:rFonts w:ascii="Bookman Old Style" w:hAnsi="Bookman Old Style"/>
          <w:bCs/>
          <w:i/>
          <w:sz w:val="24"/>
          <w:szCs w:val="24"/>
          <w:lang w:val="en-US"/>
        </w:rPr>
        <w:t xml:space="preserve">day, March 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>18</w:t>
      </w:r>
      <w:r w:rsidRPr="002738D3">
        <w:rPr>
          <w:rFonts w:ascii="Bookman Old Style" w:hAnsi="Bookman Old Style"/>
          <w:bCs/>
          <w:i/>
          <w:sz w:val="24"/>
          <w:szCs w:val="24"/>
          <w:lang w:val="en-US"/>
        </w:rPr>
        <w:t xml:space="preserve">, 2015. For details, </w:t>
      </w:r>
      <w:hyperlink r:id="rId12" w:history="1">
        <w:r w:rsidRPr="002738D3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2738D3" w:rsidRPr="002738D3" w:rsidRDefault="002738D3" w:rsidP="002738D3">
      <w:pPr>
        <w:spacing w:before="240" w:after="360"/>
        <w:ind w:left="360"/>
        <w:jc w:val="both"/>
        <w:rPr>
          <w:rStyle w:val="Hyperlink"/>
          <w:i/>
          <w:color w:val="auto"/>
          <w:u w:val="none"/>
        </w:rPr>
      </w:pPr>
    </w:p>
    <w:p w:rsidR="002738D3" w:rsidRPr="002738D3" w:rsidRDefault="002738D3" w:rsidP="002738D3">
      <w:pPr>
        <w:jc w:val="both"/>
        <w:rPr>
          <w:rFonts w:ascii="Bookman Old Style" w:hAnsi="Bookman Old Style"/>
          <w:bCs/>
          <w:i/>
          <w:color w:val="FF0000"/>
          <w:sz w:val="24"/>
          <w:szCs w:val="24"/>
          <w:lang w:val="en-US"/>
        </w:rPr>
      </w:pPr>
      <w:r w:rsidRPr="002738D3">
        <w:rPr>
          <w:rFonts w:ascii="Bookman Old Style" w:hAnsi="Bookman Old Style"/>
          <w:bCs/>
          <w:i/>
          <w:sz w:val="24"/>
          <w:szCs w:val="24"/>
          <w:lang w:val="en-US"/>
        </w:rPr>
        <w:t xml:space="preserve">ICSI Governance Research and Knowledge Foundation Offers 3 Days “Directors’ Development </w:t>
      </w:r>
      <w:proofErr w:type="spellStart"/>
      <w:r w:rsidRPr="002738D3">
        <w:rPr>
          <w:rFonts w:ascii="Bookman Old Style" w:hAnsi="Bookman Old Style"/>
          <w:bCs/>
          <w:i/>
          <w:sz w:val="24"/>
          <w:szCs w:val="24"/>
          <w:lang w:val="en-US"/>
        </w:rPr>
        <w:t>Programme</w:t>
      </w:r>
      <w:proofErr w:type="spellEnd"/>
      <w:r w:rsidRPr="002738D3">
        <w:rPr>
          <w:rFonts w:ascii="Bookman Old Style" w:hAnsi="Bookman Old Style"/>
          <w:bCs/>
          <w:i/>
          <w:sz w:val="24"/>
          <w:szCs w:val="24"/>
          <w:lang w:val="en-US"/>
        </w:rPr>
        <w:t xml:space="preserve">” from Thursday, March 26, 2015 to Saturday, March 28, 2015. For details, </w:t>
      </w:r>
      <w:hyperlink r:id="rId13" w:history="1">
        <w:r w:rsidRPr="002738D3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9A6D86" w:rsidRDefault="009A6D86" w:rsidP="009F7828">
      <w:pPr>
        <w:spacing w:before="120" w:after="12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</w:p>
    <w:p w:rsidR="009A6D86" w:rsidRPr="009F7828" w:rsidRDefault="009A6D86" w:rsidP="009F7828">
      <w:pPr>
        <w:spacing w:before="120" w:after="12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bCs/>
          <w:i/>
          <w:sz w:val="24"/>
          <w:szCs w:val="24"/>
          <w:lang w:val="en-US"/>
        </w:rPr>
        <w:t>IoD</w:t>
      </w:r>
      <w:proofErr w:type="spellEnd"/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in association with ICSI organizing </w:t>
      </w:r>
      <w:r w:rsidRPr="009A6D86">
        <w:rPr>
          <w:rFonts w:ascii="Bookman Old Style" w:hAnsi="Bookman Old Style"/>
          <w:bCs/>
          <w:i/>
          <w:sz w:val="24"/>
          <w:szCs w:val="24"/>
          <w:lang w:val="en-US"/>
        </w:rPr>
        <w:t>Dubai Global Convention 2015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on </w:t>
      </w:r>
      <w:r w:rsidRPr="009A6D86">
        <w:rPr>
          <w:rFonts w:ascii="Bookman Old Style" w:hAnsi="Bookman Old Style"/>
          <w:bCs/>
          <w:i/>
          <w:sz w:val="24"/>
          <w:szCs w:val="24"/>
          <w:lang w:val="en-US"/>
        </w:rPr>
        <w:t xml:space="preserve">20 – 22 April 2015, Hotel </w:t>
      </w:r>
      <w:proofErr w:type="gramStart"/>
      <w:r w:rsidRPr="009A6D86">
        <w:rPr>
          <w:rFonts w:ascii="Bookman Old Style" w:hAnsi="Bookman Old Style"/>
          <w:bCs/>
          <w:i/>
          <w:sz w:val="24"/>
          <w:szCs w:val="24"/>
          <w:lang w:val="en-US"/>
        </w:rPr>
        <w:t>The</w:t>
      </w:r>
      <w:proofErr w:type="gramEnd"/>
      <w:r w:rsidRPr="009A6D86">
        <w:rPr>
          <w:rFonts w:ascii="Bookman Old Style" w:hAnsi="Bookman Old Style"/>
          <w:bCs/>
          <w:i/>
          <w:sz w:val="24"/>
          <w:szCs w:val="24"/>
          <w:lang w:val="en-US"/>
        </w:rPr>
        <w:t xml:space="preserve"> </w:t>
      </w:r>
      <w:proofErr w:type="spellStart"/>
      <w:r w:rsidRPr="009A6D86">
        <w:rPr>
          <w:rFonts w:ascii="Bookman Old Style" w:hAnsi="Bookman Old Style"/>
          <w:bCs/>
          <w:i/>
          <w:sz w:val="24"/>
          <w:szCs w:val="24"/>
          <w:lang w:val="en-US"/>
        </w:rPr>
        <w:t>Meydan</w:t>
      </w:r>
      <w:proofErr w:type="spellEnd"/>
      <w:r w:rsidRPr="009A6D86">
        <w:rPr>
          <w:rFonts w:ascii="Bookman Old Style" w:hAnsi="Bookman Old Style"/>
          <w:bCs/>
          <w:i/>
          <w:sz w:val="24"/>
          <w:szCs w:val="24"/>
          <w:lang w:val="en-US"/>
        </w:rPr>
        <w:t>, Dubai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. For details, </w:t>
      </w:r>
      <w:hyperlink r:id="rId14" w:history="1">
        <w:r w:rsidRPr="009A6D86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605956" w:rsidRDefault="00605956" w:rsidP="00B17B93">
      <w:pPr>
        <w:pBdr>
          <w:bottom w:val="single" w:sz="6" w:space="1" w:color="auto"/>
        </w:pBdr>
        <w:jc w:val="both"/>
        <w:rPr>
          <w:rFonts w:ascii="Bookman Old Style" w:hAnsi="Bookman Old Style"/>
          <w:bCs/>
          <w:sz w:val="24"/>
          <w:szCs w:val="24"/>
          <w:lang w:val="en-US"/>
        </w:rPr>
      </w:pPr>
    </w:p>
    <w:p w:rsidR="00242521" w:rsidRDefault="00242521" w:rsidP="00B17B93">
      <w:pPr>
        <w:pBdr>
          <w:bottom w:val="single" w:sz="6" w:space="1" w:color="auto"/>
        </w:pBdr>
        <w:jc w:val="both"/>
        <w:rPr>
          <w:rFonts w:ascii="Bookman Old Style" w:hAnsi="Bookman Old Style"/>
          <w:bCs/>
          <w:sz w:val="24"/>
          <w:szCs w:val="24"/>
          <w:lang w:val="en-US"/>
        </w:rPr>
      </w:pPr>
      <w:r>
        <w:rPr>
          <w:rFonts w:ascii="Bookman Old Style" w:hAnsi="Bookman Old Style"/>
          <w:bCs/>
          <w:sz w:val="24"/>
          <w:szCs w:val="24"/>
          <w:lang w:val="en-US"/>
        </w:rPr>
        <w:t>The Guidelines issued by the Institute pertaining to members are placed at the website of the Institute. For details,</w:t>
      </w:r>
      <w:r w:rsidRPr="00242521">
        <w:rPr>
          <w:rFonts w:ascii="Bookman Old Style" w:hAnsi="Bookman Old Style"/>
          <w:bCs/>
          <w:color w:val="FF0000"/>
          <w:sz w:val="24"/>
          <w:szCs w:val="24"/>
          <w:lang w:val="en-US"/>
        </w:rPr>
        <w:t xml:space="preserve"> </w:t>
      </w:r>
      <w:hyperlink r:id="rId15" w:history="1">
        <w:r w:rsidRPr="00242521">
          <w:rPr>
            <w:rStyle w:val="Hyperlink"/>
            <w:rFonts w:ascii="Bookman Old Style" w:hAnsi="Bookman Old Style"/>
            <w:bCs/>
            <w:color w:val="FF0000"/>
            <w:sz w:val="24"/>
            <w:szCs w:val="24"/>
            <w:lang w:val="en-US"/>
          </w:rPr>
          <w:t>click here</w:t>
        </w:r>
      </w:hyperlink>
      <w:r>
        <w:rPr>
          <w:rFonts w:ascii="Bookman Old Style" w:hAnsi="Bookman Old Style"/>
          <w:bCs/>
          <w:sz w:val="24"/>
          <w:szCs w:val="24"/>
          <w:lang w:val="en-US"/>
        </w:rPr>
        <w:t xml:space="preserve"> </w:t>
      </w:r>
    </w:p>
    <w:p w:rsidR="00242521" w:rsidRPr="00B17B93" w:rsidRDefault="00242521" w:rsidP="00B17B93">
      <w:pPr>
        <w:pBdr>
          <w:bottom w:val="single" w:sz="6" w:space="1" w:color="auto"/>
        </w:pBdr>
        <w:jc w:val="both"/>
        <w:rPr>
          <w:rFonts w:ascii="Bookman Old Style" w:hAnsi="Bookman Old Style"/>
          <w:bCs/>
          <w:sz w:val="24"/>
          <w:szCs w:val="24"/>
          <w:lang w:val="en-US"/>
        </w:rPr>
      </w:pPr>
    </w:p>
    <w:p w:rsidR="00295F28" w:rsidRPr="00605956" w:rsidRDefault="00DF0624" w:rsidP="00605956">
      <w:pPr>
        <w:jc w:val="both"/>
        <w:rPr>
          <w:rFonts w:ascii="Bookman Old Style" w:hAnsi="Bookman Old Style"/>
          <w:bCs/>
          <w:sz w:val="24"/>
          <w:szCs w:val="24"/>
          <w:lang w:val="en-US"/>
        </w:rPr>
      </w:pPr>
      <w:r w:rsidRPr="00DF0624">
        <w:rPr>
          <w:rFonts w:ascii="Bookman Old Style" w:hAnsi="Bookman Old Style"/>
          <w:b/>
          <w:bCs/>
          <w:sz w:val="24"/>
          <w:szCs w:val="24"/>
          <w:lang w:val="en-US"/>
        </w:rPr>
        <w:t xml:space="preserve">For Previous CS UPDATES </w:t>
      </w:r>
      <w:proofErr w:type="gramStart"/>
      <w:r w:rsidRPr="00DF0624">
        <w:rPr>
          <w:rFonts w:ascii="Bookman Old Style" w:hAnsi="Bookman Old Style"/>
          <w:b/>
          <w:bCs/>
          <w:sz w:val="24"/>
          <w:szCs w:val="24"/>
          <w:lang w:val="en-US"/>
        </w:rPr>
        <w:t>visit :</w:t>
      </w:r>
      <w:proofErr w:type="gramEnd"/>
      <w:r w:rsidRPr="00DF0624">
        <w:rPr>
          <w:rFonts w:ascii="Bookman Old Style" w:hAnsi="Bookman Old Style"/>
          <w:b/>
          <w:bCs/>
          <w:sz w:val="24"/>
          <w:szCs w:val="24"/>
          <w:lang w:val="en-US"/>
        </w:rPr>
        <w:cr/>
      </w:r>
      <w:r w:rsidRPr="00DF0624">
        <w:rPr>
          <w:rFonts w:ascii="Bookman Old Style" w:hAnsi="Bookman Old Style"/>
          <w:bCs/>
          <w:sz w:val="24"/>
          <w:szCs w:val="24"/>
          <w:lang w:val="en-US"/>
        </w:rPr>
        <w:t>http://www.icsi.edu/Member/CSUpdate.aspx</w:t>
      </w:r>
      <w:r w:rsidRPr="00DF0624">
        <w:rPr>
          <w:rFonts w:ascii="Bookman Old Style" w:hAnsi="Bookman Old Style"/>
          <w:bCs/>
          <w:sz w:val="24"/>
          <w:szCs w:val="24"/>
          <w:lang w:val="en-US"/>
        </w:rPr>
        <w:cr/>
      </w:r>
      <w:proofErr w:type="gramStart"/>
      <w:r w:rsidRPr="00DF0624">
        <w:rPr>
          <w:rFonts w:ascii="Bookman Old Style" w:hAnsi="Bookman Old Style"/>
          <w:bCs/>
          <w:sz w:val="24"/>
          <w:szCs w:val="24"/>
          <w:lang w:val="en-US"/>
        </w:rPr>
        <w:t xml:space="preserve">Directorate of </w:t>
      </w:r>
      <w:r w:rsidR="00FA6AA6">
        <w:rPr>
          <w:rFonts w:ascii="Bookman Old Style" w:hAnsi="Bookman Old Style"/>
          <w:bCs/>
          <w:sz w:val="24"/>
          <w:szCs w:val="24"/>
          <w:lang w:val="en-US"/>
        </w:rPr>
        <w:t xml:space="preserve">Academics, </w:t>
      </w:r>
      <w:r w:rsidRPr="00DF0624">
        <w:rPr>
          <w:rFonts w:ascii="Bookman Old Style" w:hAnsi="Bookman Old Style"/>
          <w:bCs/>
          <w:sz w:val="24"/>
          <w:szCs w:val="24"/>
          <w:lang w:val="en-US"/>
        </w:rPr>
        <w:t>Professional Development</w:t>
      </w:r>
      <w:r w:rsidR="00FA6AA6">
        <w:rPr>
          <w:rFonts w:ascii="Bookman Old Style" w:hAnsi="Bookman Old Style"/>
          <w:bCs/>
          <w:sz w:val="24"/>
          <w:szCs w:val="24"/>
          <w:lang w:val="en-US"/>
        </w:rPr>
        <w:t xml:space="preserve"> &amp; Perspective Planning</w:t>
      </w:r>
      <w:r w:rsidRPr="00DF0624">
        <w:rPr>
          <w:rFonts w:ascii="Bookman Old Style" w:hAnsi="Bookman Old Style"/>
          <w:bCs/>
          <w:sz w:val="24"/>
          <w:szCs w:val="24"/>
          <w:lang w:val="en-US"/>
        </w:rPr>
        <w:t>, ICSI.</w:t>
      </w:r>
      <w:proofErr w:type="gramEnd"/>
      <w:r w:rsidRPr="00DF0624">
        <w:rPr>
          <w:rFonts w:ascii="Bookman Old Style" w:hAnsi="Bookman Old Style"/>
          <w:bCs/>
          <w:sz w:val="24"/>
          <w:szCs w:val="24"/>
          <w:lang w:val="en-US"/>
        </w:rPr>
        <w:t xml:space="preserve"> Email:  </w:t>
      </w:r>
      <w:hyperlink r:id="rId16" w:history="1">
        <w:r w:rsidR="00F81ABC" w:rsidRPr="00F81ABC">
          <w:rPr>
            <w:rStyle w:val="Hyperlink"/>
            <w:rFonts w:ascii="Bookman Old Style" w:hAnsi="Bookman Old Style"/>
            <w:bCs/>
            <w:color w:val="FF0000"/>
            <w:sz w:val="24"/>
            <w:szCs w:val="24"/>
            <w:lang w:val="en-US"/>
          </w:rPr>
          <w:t>csupdate@icsi.edu</w:t>
        </w:r>
      </w:hyperlink>
      <w:r w:rsidR="00F81ABC">
        <w:rPr>
          <w:rFonts w:ascii="Bookman Old Style" w:hAnsi="Bookman Old Style"/>
          <w:bCs/>
          <w:sz w:val="24"/>
          <w:szCs w:val="24"/>
          <w:lang w:val="en-US"/>
        </w:rPr>
        <w:t xml:space="preserve"> </w:t>
      </w:r>
    </w:p>
    <w:sectPr w:rsidR="00295F28" w:rsidRPr="00605956" w:rsidSect="005D4D08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3358"/>
    <w:multiLevelType w:val="hybridMultilevel"/>
    <w:tmpl w:val="043A8520"/>
    <w:lvl w:ilvl="0" w:tplc="160E8BCE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05903"/>
    <w:multiLevelType w:val="hybridMultilevel"/>
    <w:tmpl w:val="2A961548"/>
    <w:lvl w:ilvl="0" w:tplc="C9CE99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8419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62E08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AEC0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7C19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74E13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D66D0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3E9A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15287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A3109FA"/>
    <w:multiLevelType w:val="hybridMultilevel"/>
    <w:tmpl w:val="B450EBF8"/>
    <w:lvl w:ilvl="0" w:tplc="20781E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C41A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7AC18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D41E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D62E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244D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5CBF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1835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1FC65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47ED25D5"/>
    <w:multiLevelType w:val="hybridMultilevel"/>
    <w:tmpl w:val="20363BFC"/>
    <w:lvl w:ilvl="0" w:tplc="84A2A7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FE2B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0A62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9001A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7E31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F8E5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284F9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968A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C278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68832460"/>
    <w:multiLevelType w:val="hybridMultilevel"/>
    <w:tmpl w:val="E354AA38"/>
    <w:lvl w:ilvl="0" w:tplc="A11C2A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3574EF"/>
    <w:multiLevelType w:val="hybridMultilevel"/>
    <w:tmpl w:val="9BB2A23A"/>
    <w:lvl w:ilvl="0" w:tplc="079081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EC65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B2CAA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94AF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0879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1EAD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5E5F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FE0E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A4290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F50A6"/>
    <w:rsid w:val="000049CF"/>
    <w:rsid w:val="00035D73"/>
    <w:rsid w:val="0005088E"/>
    <w:rsid w:val="000956CA"/>
    <w:rsid w:val="000B4877"/>
    <w:rsid w:val="000D07A3"/>
    <w:rsid w:val="000D0D6E"/>
    <w:rsid w:val="000E7FAD"/>
    <w:rsid w:val="000F065D"/>
    <w:rsid w:val="000F1B85"/>
    <w:rsid w:val="0011579B"/>
    <w:rsid w:val="00120CDE"/>
    <w:rsid w:val="001229ED"/>
    <w:rsid w:val="00132074"/>
    <w:rsid w:val="0013469F"/>
    <w:rsid w:val="001556EB"/>
    <w:rsid w:val="00167E1C"/>
    <w:rsid w:val="00186ABB"/>
    <w:rsid w:val="001A6188"/>
    <w:rsid w:val="001B1139"/>
    <w:rsid w:val="001B49AD"/>
    <w:rsid w:val="002355D8"/>
    <w:rsid w:val="00242521"/>
    <w:rsid w:val="002738D3"/>
    <w:rsid w:val="00274C7B"/>
    <w:rsid w:val="00295070"/>
    <w:rsid w:val="00295F28"/>
    <w:rsid w:val="002B6D91"/>
    <w:rsid w:val="002F1C48"/>
    <w:rsid w:val="002F2E93"/>
    <w:rsid w:val="002F5DA7"/>
    <w:rsid w:val="002F6FB2"/>
    <w:rsid w:val="00312A8A"/>
    <w:rsid w:val="003151F1"/>
    <w:rsid w:val="0031739E"/>
    <w:rsid w:val="00335367"/>
    <w:rsid w:val="003356D8"/>
    <w:rsid w:val="00361C66"/>
    <w:rsid w:val="00363B3B"/>
    <w:rsid w:val="00374633"/>
    <w:rsid w:val="00397CCB"/>
    <w:rsid w:val="003A27E2"/>
    <w:rsid w:val="003D3B55"/>
    <w:rsid w:val="003E2DE2"/>
    <w:rsid w:val="003E3AD0"/>
    <w:rsid w:val="003E5C08"/>
    <w:rsid w:val="00410DA6"/>
    <w:rsid w:val="004404A0"/>
    <w:rsid w:val="00465D84"/>
    <w:rsid w:val="00480CDD"/>
    <w:rsid w:val="004A5A65"/>
    <w:rsid w:val="005003CB"/>
    <w:rsid w:val="00510392"/>
    <w:rsid w:val="0052563D"/>
    <w:rsid w:val="005430EF"/>
    <w:rsid w:val="00547020"/>
    <w:rsid w:val="005853F9"/>
    <w:rsid w:val="005D4D08"/>
    <w:rsid w:val="005D6A0D"/>
    <w:rsid w:val="005E4BFF"/>
    <w:rsid w:val="00605956"/>
    <w:rsid w:val="0061732C"/>
    <w:rsid w:val="006726A6"/>
    <w:rsid w:val="006814F9"/>
    <w:rsid w:val="006A5D5A"/>
    <w:rsid w:val="006A72D0"/>
    <w:rsid w:val="0074118E"/>
    <w:rsid w:val="00755FA2"/>
    <w:rsid w:val="00764CC9"/>
    <w:rsid w:val="00787C68"/>
    <w:rsid w:val="007902D9"/>
    <w:rsid w:val="007D7896"/>
    <w:rsid w:val="007F7848"/>
    <w:rsid w:val="0082411B"/>
    <w:rsid w:val="0083550B"/>
    <w:rsid w:val="00841744"/>
    <w:rsid w:val="00895D8C"/>
    <w:rsid w:val="008C006C"/>
    <w:rsid w:val="008C66EF"/>
    <w:rsid w:val="008C688D"/>
    <w:rsid w:val="008D50ED"/>
    <w:rsid w:val="008D5C45"/>
    <w:rsid w:val="008E6A4A"/>
    <w:rsid w:val="0090082B"/>
    <w:rsid w:val="009042DF"/>
    <w:rsid w:val="009243D6"/>
    <w:rsid w:val="0099167C"/>
    <w:rsid w:val="0099363D"/>
    <w:rsid w:val="009A6D86"/>
    <w:rsid w:val="009B05D5"/>
    <w:rsid w:val="009B3A84"/>
    <w:rsid w:val="009D0C1B"/>
    <w:rsid w:val="009F624E"/>
    <w:rsid w:val="009F6A31"/>
    <w:rsid w:val="009F7828"/>
    <w:rsid w:val="00A04E50"/>
    <w:rsid w:val="00A13995"/>
    <w:rsid w:val="00A1513B"/>
    <w:rsid w:val="00A17599"/>
    <w:rsid w:val="00A23555"/>
    <w:rsid w:val="00A90329"/>
    <w:rsid w:val="00AC2144"/>
    <w:rsid w:val="00B00466"/>
    <w:rsid w:val="00B05ECC"/>
    <w:rsid w:val="00B17B93"/>
    <w:rsid w:val="00B35FB1"/>
    <w:rsid w:val="00B44531"/>
    <w:rsid w:val="00B45E06"/>
    <w:rsid w:val="00B47F29"/>
    <w:rsid w:val="00B63F89"/>
    <w:rsid w:val="00B73F95"/>
    <w:rsid w:val="00B75F86"/>
    <w:rsid w:val="00BF02E0"/>
    <w:rsid w:val="00C119ED"/>
    <w:rsid w:val="00C176C1"/>
    <w:rsid w:val="00C30F36"/>
    <w:rsid w:val="00C35492"/>
    <w:rsid w:val="00C46424"/>
    <w:rsid w:val="00C918C3"/>
    <w:rsid w:val="00C9642A"/>
    <w:rsid w:val="00C972D1"/>
    <w:rsid w:val="00CA49A5"/>
    <w:rsid w:val="00D130FC"/>
    <w:rsid w:val="00D17EFA"/>
    <w:rsid w:val="00D470A4"/>
    <w:rsid w:val="00D84D10"/>
    <w:rsid w:val="00D92B24"/>
    <w:rsid w:val="00DC4EF2"/>
    <w:rsid w:val="00DE2361"/>
    <w:rsid w:val="00DE50CA"/>
    <w:rsid w:val="00DE7760"/>
    <w:rsid w:val="00DF0624"/>
    <w:rsid w:val="00E179D5"/>
    <w:rsid w:val="00E2289E"/>
    <w:rsid w:val="00E25B5D"/>
    <w:rsid w:val="00E52D55"/>
    <w:rsid w:val="00E64E63"/>
    <w:rsid w:val="00E83D87"/>
    <w:rsid w:val="00E8414D"/>
    <w:rsid w:val="00E8624A"/>
    <w:rsid w:val="00EA15BE"/>
    <w:rsid w:val="00EA2DDB"/>
    <w:rsid w:val="00EB2E62"/>
    <w:rsid w:val="00EC437D"/>
    <w:rsid w:val="00EC61CA"/>
    <w:rsid w:val="00EF50A6"/>
    <w:rsid w:val="00F25DBF"/>
    <w:rsid w:val="00F276F0"/>
    <w:rsid w:val="00F51E13"/>
    <w:rsid w:val="00F80449"/>
    <w:rsid w:val="00F81177"/>
    <w:rsid w:val="00F81ABC"/>
    <w:rsid w:val="00F82C65"/>
    <w:rsid w:val="00F84105"/>
    <w:rsid w:val="00F84BA1"/>
    <w:rsid w:val="00FA6AA6"/>
    <w:rsid w:val="00FB1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E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50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5F2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62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F06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605956"/>
    <w:rPr>
      <w:color w:val="800080" w:themeColor="followedHyperlink"/>
      <w:u w:val="single"/>
    </w:rPr>
  </w:style>
  <w:style w:type="character" w:customStyle="1" w:styleId="firstword1">
    <w:name w:val="firstword1"/>
    <w:basedOn w:val="DefaultParagraphFont"/>
    <w:rsid w:val="00DE7760"/>
    <w:rPr>
      <w:rFonts w:ascii="Verdana" w:hAnsi="Verdana" w:hint="default"/>
      <w:b/>
      <w:bCs/>
      <w:strike w:val="0"/>
      <w:dstrike w:val="0"/>
      <w:sz w:val="19"/>
      <w:szCs w:val="19"/>
      <w:u w:val="none"/>
      <w:effect w:val="none"/>
    </w:rPr>
  </w:style>
  <w:style w:type="character" w:customStyle="1" w:styleId="bqquotelink1">
    <w:name w:val="bqquotelink1"/>
    <w:basedOn w:val="DefaultParagraphFont"/>
    <w:rsid w:val="000956CA"/>
    <w:rPr>
      <w:rFonts w:ascii="Helvetica" w:hAnsi="Helvetica" w:hint="default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2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5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4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7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03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4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7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24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79617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87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C3CCDF"/>
                            <w:left w:val="single" w:sz="6" w:space="3" w:color="C3CCDF"/>
                            <w:bottom w:val="single" w:sz="6" w:space="3" w:color="C3CCDF"/>
                            <w:right w:val="single" w:sz="6" w:space="3" w:color="C3CCDF"/>
                          </w:divBdr>
                          <w:divsChild>
                            <w:div w:id="30035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2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810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100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9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9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07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27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59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94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93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0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2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20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05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22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50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0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87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bidocs.rbi.org.in/rdocs/notification/PDFs/GADREPP130315.pdf" TargetMode="External"/><Relationship Id="rId13" Type="http://schemas.openxmlformats.org/officeDocument/2006/relationships/hyperlink" Target="http://www.icsi.edu/Portals/86/Ketan/Announcement_GRKF_Mar%2026%20to%2028,%202015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rbidocs.rbi.org.in/rdocs/notification/PDFs/499IPDPSL0315.pdf" TargetMode="External"/><Relationship Id="rId12" Type="http://schemas.openxmlformats.org/officeDocument/2006/relationships/hyperlink" Target="http://www.icsi.edu/Portals/86/Ketan/Revised%20Announcement_Critical%20issues%20in%20Companies%20Act,%202013_Mar%2018,%202015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csupdate@icsi.ed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rbidocs.rbi.org.in/rdocs/notification/PDFs/498SPFKYC0315.pdf" TargetMode="External"/><Relationship Id="rId11" Type="http://schemas.openxmlformats.org/officeDocument/2006/relationships/hyperlink" Target="https://www.icsi.edu/docs/Webmodules/ANNOUNCEMENT_QRB.pdf" TargetMode="External"/><Relationship Id="rId5" Type="http://schemas.openxmlformats.org/officeDocument/2006/relationships/hyperlink" Target="http://dipp.nic.in/English/acts_rules/Press_Notes/Clarification_PressNote10_2014.pdf" TargetMode="External"/><Relationship Id="rId15" Type="http://schemas.openxmlformats.org/officeDocument/2006/relationships/hyperlink" Target="https://www.icsi.edu/WebModules/PCS/Guidelines%20pertaining%20to%20PCS.PDF" TargetMode="External"/><Relationship Id="rId10" Type="http://schemas.openxmlformats.org/officeDocument/2006/relationships/hyperlink" Target="http://msme.gov.in/WriteReadData/Whatsnew/Framework-RevivalMSM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bidocs.rbi.org.in/rdocs/PressRelease/PDFs/IEPR1934SCDC0315.pdf" TargetMode="External"/><Relationship Id="rId14" Type="http://schemas.openxmlformats.org/officeDocument/2006/relationships/hyperlink" Target="https://www.icsi.edu/docs/Webmodules/Dubai%20Glob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e0527</dc:creator>
  <cp:lastModifiedBy>e0527</cp:lastModifiedBy>
  <cp:revision>116</cp:revision>
  <dcterms:created xsi:type="dcterms:W3CDTF">2015-02-26T04:05:00Z</dcterms:created>
  <dcterms:modified xsi:type="dcterms:W3CDTF">2015-03-16T08:58:00Z</dcterms:modified>
</cp:coreProperties>
</file>