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DD09A9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</w:pP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CS UPDATE </w:t>
      </w:r>
      <w:r w:rsidR="0062671C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JUNE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 </w:t>
      </w:r>
      <w:r w:rsidR="00773410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1</w:t>
      </w:r>
      <w:r w:rsidR="000643FE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9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, 201</w:t>
      </w:r>
      <w:r w:rsidRPr="00DD09A9"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254E4E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254E4E" w:rsidRPr="00254E4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Life is not a problem to be solved, b</w:t>
      </w:r>
      <w:r w:rsidR="00254E4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ut a reality to be experienced.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7E45B6" w:rsidRPr="00E85DCE" w:rsidRDefault="00254E4E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403152" w:themeColor="accent4" w:themeShade="80"/>
          <w:sz w:val="36"/>
          <w:szCs w:val="36"/>
          <w:lang w:val="en-US"/>
        </w:rPr>
      </w:pPr>
      <w:proofErr w:type="spellStart"/>
      <w:r w:rsidRPr="00254E4E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Soren</w:t>
      </w:r>
      <w:proofErr w:type="spellEnd"/>
      <w:r w:rsidRPr="00254E4E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 xml:space="preserve"> Kierkegaard</w:t>
      </w:r>
    </w:p>
    <w:p w:rsidR="00EB013E" w:rsidRPr="00DF3B13" w:rsidRDefault="000643FE" w:rsidP="00EB013E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B013E" w:rsidRDefault="000643FE" w:rsidP="0014090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MCA 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>clarified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 xml:space="preserve">that </w:t>
      </w:r>
      <w:r w:rsidR="0014090D" w:rsidRPr="0014090D">
        <w:rPr>
          <w:rFonts w:ascii="SerifaBT-Roman" w:hAnsi="SerifaBT-Roman"/>
          <w:bCs/>
          <w:sz w:val="32"/>
          <w:szCs w:val="32"/>
          <w:lang w:val="en-US"/>
        </w:rPr>
        <w:t>vide Removal of Difficulties (S</w:t>
      </w:r>
      <w:r w:rsidR="0014090D">
        <w:rPr>
          <w:rFonts w:ascii="SerifaBT-Roman" w:hAnsi="SerifaBT-Roman"/>
          <w:bCs/>
          <w:sz w:val="32"/>
          <w:szCs w:val="32"/>
          <w:lang w:val="en-US"/>
        </w:rPr>
        <w:t>econd) Order [S.O. 1428(E)]</w:t>
      </w:r>
      <w:r w:rsidR="0014090D" w:rsidRPr="0014090D">
        <w:rPr>
          <w:rFonts w:ascii="SerifaBT-Roman" w:hAnsi="SerifaBT-Roman"/>
          <w:bCs/>
          <w:sz w:val="32"/>
          <w:szCs w:val="32"/>
          <w:lang w:val="en-US"/>
        </w:rPr>
        <w:t xml:space="preserve"> dated 2</w:t>
      </w:r>
      <w:r w:rsidR="0014090D" w:rsidRPr="0014090D">
        <w:rPr>
          <w:rFonts w:ascii="SerifaBT-Roman" w:hAnsi="SerifaBT-Roman"/>
          <w:bCs/>
          <w:sz w:val="32"/>
          <w:szCs w:val="32"/>
          <w:vertAlign w:val="superscript"/>
          <w:lang w:val="en-US"/>
        </w:rPr>
        <w:t>n</w:t>
      </w:r>
      <w:r w:rsidR="0014090D" w:rsidRPr="0014090D">
        <w:rPr>
          <w:rFonts w:ascii="SerifaBT-Roman" w:hAnsi="SerifaBT-Roman"/>
          <w:bCs/>
          <w:sz w:val="32"/>
          <w:szCs w:val="32"/>
          <w:vertAlign w:val="superscript"/>
          <w:lang w:val="en-US"/>
        </w:rPr>
        <w:t>d</w:t>
      </w:r>
      <w:r w:rsidR="0014090D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14090D" w:rsidRPr="0014090D">
        <w:rPr>
          <w:rFonts w:ascii="SerifaBT-Roman" w:hAnsi="SerifaBT-Roman"/>
          <w:bCs/>
          <w:sz w:val="32"/>
          <w:szCs w:val="32"/>
          <w:lang w:val="en-US"/>
        </w:rPr>
        <w:t>June,</w:t>
      </w:r>
      <w:r w:rsidR="0014090D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14090D" w:rsidRPr="0014090D">
        <w:rPr>
          <w:rFonts w:ascii="SerifaBT-Roman" w:hAnsi="SerifaBT-Roman"/>
          <w:bCs/>
          <w:sz w:val="32"/>
          <w:szCs w:val="32"/>
          <w:lang w:val="en-US"/>
        </w:rPr>
        <w:t>2014 a</w:t>
      </w:r>
      <w:r w:rsidR="0014090D">
        <w:rPr>
          <w:rFonts w:ascii="SerifaBT-Roman" w:hAnsi="SerifaBT-Roman"/>
          <w:bCs/>
          <w:sz w:val="32"/>
          <w:szCs w:val="32"/>
          <w:lang w:val="en-US"/>
        </w:rPr>
        <w:t>n</w:t>
      </w:r>
      <w:r w:rsidR="0014090D" w:rsidRPr="0014090D">
        <w:rPr>
          <w:rFonts w:ascii="SerifaBT-Roman" w:hAnsi="SerifaBT-Roman"/>
          <w:bCs/>
          <w:sz w:val="32"/>
          <w:szCs w:val="32"/>
          <w:lang w:val="en-US"/>
        </w:rPr>
        <w:t xml:space="preserve">d Removal </w:t>
      </w:r>
      <w:r w:rsidR="0014090D">
        <w:rPr>
          <w:rFonts w:ascii="SerifaBT-Roman" w:hAnsi="SerifaBT-Roman"/>
          <w:bCs/>
          <w:sz w:val="32"/>
          <w:szCs w:val="32"/>
          <w:lang w:val="en-US"/>
        </w:rPr>
        <w:t>of Difficulties (Fourth) Order [</w:t>
      </w:r>
      <w:r w:rsidR="0014090D" w:rsidRPr="0014090D">
        <w:rPr>
          <w:rFonts w:ascii="SerifaBT-Roman" w:hAnsi="SerifaBT-Roman"/>
          <w:bCs/>
          <w:sz w:val="32"/>
          <w:szCs w:val="32"/>
          <w:lang w:val="en-US"/>
        </w:rPr>
        <w:t xml:space="preserve">S.O. </w:t>
      </w:r>
      <w:proofErr w:type="gramStart"/>
      <w:r w:rsidR="0014090D" w:rsidRPr="0014090D">
        <w:rPr>
          <w:rFonts w:ascii="SerifaBT-Roman" w:hAnsi="SerifaBT-Roman"/>
          <w:bCs/>
          <w:sz w:val="32"/>
          <w:szCs w:val="32"/>
          <w:lang w:val="en-US"/>
        </w:rPr>
        <w:t>146O(</w:t>
      </w:r>
      <w:proofErr w:type="gramEnd"/>
      <w:r w:rsidR="0014090D" w:rsidRPr="0014090D">
        <w:rPr>
          <w:rFonts w:ascii="SerifaBT-Roman" w:hAnsi="SerifaBT-Roman"/>
          <w:bCs/>
          <w:sz w:val="32"/>
          <w:szCs w:val="32"/>
          <w:lang w:val="en-US"/>
        </w:rPr>
        <w:t>E)</w:t>
      </w:r>
      <w:r w:rsidR="0014090D">
        <w:rPr>
          <w:rFonts w:ascii="SerifaBT-Roman" w:hAnsi="SerifaBT-Roman"/>
          <w:bCs/>
          <w:sz w:val="32"/>
          <w:szCs w:val="32"/>
          <w:lang w:val="en-US"/>
        </w:rPr>
        <w:t>]</w:t>
      </w:r>
      <w:r w:rsidR="0014090D" w:rsidRPr="0014090D">
        <w:rPr>
          <w:rFonts w:ascii="SerifaBT-Roman" w:hAnsi="SerifaBT-Roman"/>
          <w:bCs/>
          <w:sz w:val="32"/>
          <w:szCs w:val="32"/>
          <w:lang w:val="en-US"/>
        </w:rPr>
        <w:t xml:space="preserve"> dated 6</w:t>
      </w:r>
      <w:r w:rsidR="0014090D">
        <w:rPr>
          <w:rFonts w:ascii="SerifaBT-Roman" w:hAnsi="SerifaBT-Roman"/>
          <w:bCs/>
          <w:sz w:val="32"/>
          <w:szCs w:val="32"/>
          <w:lang w:val="en-US"/>
        </w:rPr>
        <w:t>th</w:t>
      </w:r>
      <w:r w:rsidR="0014090D" w:rsidRPr="0014090D">
        <w:rPr>
          <w:rFonts w:ascii="SerifaBT-Roman" w:hAnsi="SerifaBT-Roman"/>
          <w:bCs/>
          <w:sz w:val="32"/>
          <w:szCs w:val="32"/>
          <w:lang w:val="en-US"/>
        </w:rPr>
        <w:t xml:space="preserve"> June,</w:t>
      </w:r>
      <w:r w:rsidR="0014090D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14090D" w:rsidRPr="0014090D">
        <w:rPr>
          <w:rFonts w:ascii="SerifaBT-Roman" w:hAnsi="SerifaBT-Roman"/>
          <w:bCs/>
          <w:sz w:val="32"/>
          <w:szCs w:val="32"/>
          <w:lang w:val="en-US"/>
        </w:rPr>
        <w:t>2014,</w:t>
      </w:r>
      <w:r w:rsidR="0014090D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>the Company Law Board has been empowered to exercise the powers of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 xml:space="preserve">National Company </w:t>
      </w:r>
      <w:r>
        <w:rPr>
          <w:rFonts w:ascii="SerifaBT-Roman" w:hAnsi="SerifaBT-Roman"/>
          <w:bCs/>
          <w:sz w:val="32"/>
          <w:szCs w:val="32"/>
          <w:lang w:val="en-US"/>
        </w:rPr>
        <w:t>L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>aw Tribunal under sub-section (4) of section 73 and subsection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>(2) of section 74 of t</w:t>
      </w:r>
      <w:r>
        <w:rPr>
          <w:rFonts w:ascii="SerifaBT-Roman" w:hAnsi="SerifaBT-Roman"/>
          <w:bCs/>
          <w:sz w:val="32"/>
          <w:szCs w:val="32"/>
          <w:lang w:val="en-US"/>
        </w:rPr>
        <w:t>h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 xml:space="preserve">e </w:t>
      </w:r>
      <w:r>
        <w:rPr>
          <w:rFonts w:ascii="SerifaBT-Roman" w:hAnsi="SerifaBT-Roman"/>
          <w:bCs/>
          <w:sz w:val="32"/>
          <w:szCs w:val="32"/>
          <w:lang w:val="en-US"/>
        </w:rPr>
        <w:t>Companies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 xml:space="preserve"> Act</w:t>
      </w:r>
      <w:r>
        <w:rPr>
          <w:rFonts w:ascii="SerifaBT-Roman" w:hAnsi="SerifaBT-Roman"/>
          <w:bCs/>
          <w:sz w:val="32"/>
          <w:szCs w:val="32"/>
          <w:lang w:val="en-US"/>
        </w:rPr>
        <w:t>, 2013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>, till the latter's constitution. Thus, a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 xml:space="preserve">depositor is free to </w:t>
      </w:r>
      <w:r>
        <w:rPr>
          <w:rFonts w:ascii="SerifaBT-Roman" w:hAnsi="SerifaBT-Roman"/>
          <w:bCs/>
          <w:sz w:val="32"/>
          <w:szCs w:val="32"/>
          <w:lang w:val="en-US"/>
        </w:rPr>
        <w:t>f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>ile an application under section 73(4) of the said Act, with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>the Company Law Board if the company fails to make repayment of deposits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0643FE">
        <w:rPr>
          <w:rFonts w:ascii="SerifaBT-Roman" w:hAnsi="SerifaBT-Roman"/>
          <w:bCs/>
          <w:sz w:val="32"/>
          <w:szCs w:val="32"/>
          <w:lang w:val="en-US"/>
        </w:rPr>
        <w:t>accepted by it.</w:t>
      </w:r>
      <w:r w:rsidR="0004343E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5" w:history="1">
        <w:r w:rsidR="0004343E"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B013E" w:rsidRDefault="00EB013E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B5713F" w:rsidRDefault="008B61D5" w:rsidP="00484A40">
      <w:pPr>
        <w:spacing w:before="120" w:after="120"/>
        <w:jc w:val="both"/>
      </w:pPr>
      <w:r w:rsidRPr="008B61D5">
        <w:rPr>
          <w:rFonts w:ascii="SerifaBT-Roman" w:hAnsi="SerifaBT-Roman"/>
          <w:bCs/>
          <w:sz w:val="32"/>
          <w:szCs w:val="32"/>
          <w:lang w:val="en-US"/>
        </w:rPr>
        <w:t>The name of “State Bank of Mauritius Ltd.” has been changed to “SBM Bank (Mauritius) Ltd.” in the Second Schedule to the Reserve Bank of India Act, 1934.</w:t>
      </w:r>
      <w:r w:rsidR="00B5713F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6" w:history="1">
        <w:r w:rsidR="00B5713F" w:rsidRPr="00B5713F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5B0F3C" w:rsidRDefault="005B0F3C" w:rsidP="00484A40">
      <w:pPr>
        <w:spacing w:before="120" w:after="120"/>
        <w:jc w:val="both"/>
      </w:pPr>
    </w:p>
    <w:p w:rsidR="005B0F3C" w:rsidRPr="005B0F3C" w:rsidRDefault="005B0F3C" w:rsidP="005B0F3C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5B0F3C">
        <w:rPr>
          <w:rFonts w:ascii="SerifaBT-Roman" w:hAnsi="SerifaBT-Roman"/>
          <w:bCs/>
          <w:sz w:val="32"/>
          <w:szCs w:val="32"/>
          <w:lang w:val="en-US"/>
        </w:rPr>
        <w:t>WTO released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5B0F3C">
        <w:rPr>
          <w:rFonts w:ascii="SerifaBT-Roman" w:hAnsi="SerifaBT-Roman"/>
          <w:bCs/>
          <w:sz w:val="32"/>
          <w:szCs w:val="32"/>
          <w:lang w:val="en-US"/>
        </w:rPr>
        <w:t>WTO Analytical Index: Supplement Covering New Developments in WTO Law and Practice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7" w:history="1">
        <w:r w:rsidRPr="005B0F3C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3475BA" w:rsidRPr="00B5713F" w:rsidRDefault="003475BA" w:rsidP="00484A40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681E8C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proofErr w:type="spellStart"/>
      <w:r w:rsidR="004A387A" w:rsidRPr="004A387A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Invito</w:t>
      </w:r>
      <w:proofErr w:type="spellEnd"/>
      <w:r w:rsidR="004A387A" w:rsidRPr="004A387A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4A387A" w:rsidRPr="004A387A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beneficium</w:t>
      </w:r>
      <w:proofErr w:type="spellEnd"/>
      <w:r w:rsidR="004A387A" w:rsidRPr="004A387A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non </w:t>
      </w:r>
      <w:proofErr w:type="spellStart"/>
      <w:r w:rsidR="004A387A" w:rsidRPr="004A387A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datur</w:t>
      </w:r>
      <w:proofErr w:type="spellEnd"/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681E8C" w:rsidRDefault="004A387A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28"/>
          <w:szCs w:val="28"/>
        </w:rPr>
      </w:pPr>
      <w:r w:rsidRPr="004A387A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A benefit is not conferred upon one against his consent.</w:t>
      </w:r>
    </w:p>
    <w:p w:rsidR="002D4EB7" w:rsidRDefault="002D4EB7" w:rsidP="00AF3382">
      <w:pPr>
        <w:spacing w:before="240"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687EAA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687EAA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38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81E8C" w:rsidTr="00DF3B13">
        <w:tc>
          <w:tcPr>
            <w:tcW w:w="28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SENSEX</w:t>
            </w:r>
          </w:p>
          <w:p w:rsidR="00484A40" w:rsidRPr="00681E8C" w:rsidRDefault="00484A40" w:rsidP="00687EAA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281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82</w:t>
            </w:r>
            <w:r w:rsidR="0030479B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+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165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99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NIFTY</w:t>
            </w:r>
          </w:p>
          <w:p w:rsidR="00484A40" w:rsidRPr="00681E8C" w:rsidRDefault="00A01A5F" w:rsidP="00687EAA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="009907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37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25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GOLD (MCX) (Rs/10g.)</w:t>
            </w:r>
          </w:p>
          <w:p w:rsidR="00484A40" w:rsidRPr="00681E8C" w:rsidRDefault="00484A40" w:rsidP="00687EAA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7161</w:t>
            </w:r>
            <w:r w:rsidR="00050D1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</w:t>
            </w:r>
            <w:r w:rsidR="0051662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="00941EC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281</w:t>
            </w:r>
            <w:r w:rsidR="006D521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USD/INR</w:t>
            </w:r>
          </w:p>
          <w:p w:rsidR="00484A40" w:rsidRPr="00681E8C" w:rsidRDefault="00484A40" w:rsidP="00687EAA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73</w:t>
            </w:r>
            <w:r w:rsidR="00AD61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(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-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0.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4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)</w:t>
            </w:r>
          </w:p>
        </w:tc>
      </w:tr>
    </w:tbl>
    <w:p w:rsidR="004819E0" w:rsidRDefault="004819E0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B66463" w:rsidRDefault="00B66463" w:rsidP="00A13E9D">
      <w:pPr>
        <w:spacing w:before="120" w:after="120"/>
        <w:jc w:val="both"/>
      </w:pPr>
      <w:r w:rsidRPr="00B66463">
        <w:rPr>
          <w:rFonts w:ascii="SerifaBT-Roman" w:hAnsi="SerifaBT-Roman"/>
          <w:sz w:val="32"/>
          <w:szCs w:val="32"/>
        </w:rPr>
        <w:t xml:space="preserve">Workshop on </w:t>
      </w:r>
      <w:r w:rsidR="00A13E9D" w:rsidRPr="00A13E9D">
        <w:rPr>
          <w:rFonts w:ascii="SerifaBT-Roman" w:hAnsi="SerifaBT-Roman"/>
          <w:sz w:val="32"/>
          <w:szCs w:val="32"/>
        </w:rPr>
        <w:t>Service Tax: Negative List, Declared Services, Exemption and Service Tax Rules, 1994 –</w:t>
      </w:r>
      <w:r w:rsidR="00A13E9D">
        <w:rPr>
          <w:rFonts w:ascii="SerifaBT-Roman" w:hAnsi="SerifaBT-Roman"/>
          <w:sz w:val="32"/>
          <w:szCs w:val="32"/>
        </w:rPr>
        <w:t xml:space="preserve"> </w:t>
      </w:r>
      <w:r w:rsidR="00A13E9D" w:rsidRPr="00A13E9D">
        <w:rPr>
          <w:rFonts w:ascii="SerifaBT-Roman" w:hAnsi="SerifaBT-Roman"/>
          <w:sz w:val="32"/>
          <w:szCs w:val="32"/>
        </w:rPr>
        <w:t>Issues and Way forward and their Relevance in GST Regime</w:t>
      </w:r>
      <w:r w:rsidRPr="00B66463">
        <w:rPr>
          <w:rFonts w:ascii="SerifaBT-Roman" w:hAnsi="SerifaBT-Roman"/>
          <w:sz w:val="32"/>
          <w:szCs w:val="32"/>
        </w:rPr>
        <w:t xml:space="preserve"> on June 19,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8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3190E" w:rsidRDefault="00E3190E" w:rsidP="00351682">
      <w:pPr>
        <w:spacing w:before="120" w:after="120"/>
        <w:jc w:val="both"/>
      </w:pPr>
    </w:p>
    <w:p w:rsidR="00B77F59" w:rsidRDefault="00B77F59" w:rsidP="00E3190E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77F59">
        <w:rPr>
          <w:rFonts w:ascii="SerifaBT-Roman" w:hAnsi="SerifaBT-Roman"/>
          <w:sz w:val="32"/>
          <w:szCs w:val="32"/>
        </w:rPr>
        <w:t>Two day</w:t>
      </w:r>
      <w:r>
        <w:rPr>
          <w:rFonts w:ascii="SerifaBT-Roman" w:hAnsi="SerifaBT-Roman"/>
          <w:sz w:val="32"/>
          <w:szCs w:val="32"/>
        </w:rPr>
        <w:t>s</w:t>
      </w:r>
      <w:r w:rsidR="00DD09A9">
        <w:rPr>
          <w:rFonts w:ascii="SerifaBT-Roman" w:hAnsi="SerifaBT-Roman"/>
          <w:sz w:val="32"/>
          <w:szCs w:val="32"/>
        </w:rPr>
        <w:t xml:space="preserve"> National Research Seminar on</w:t>
      </w:r>
      <w:r>
        <w:rPr>
          <w:rFonts w:ascii="SerifaBT-Roman" w:hAnsi="SerifaBT-Roman" w:hint="eastAsia"/>
          <w:sz w:val="32"/>
          <w:szCs w:val="32"/>
        </w:rPr>
        <w:t>‘</w:t>
      </w:r>
      <w:r w:rsidRPr="00B77F59">
        <w:rPr>
          <w:rFonts w:ascii="SerifaBT-Roman" w:hAnsi="SerifaBT-Roman"/>
          <w:sz w:val="32"/>
          <w:szCs w:val="32"/>
        </w:rPr>
        <w:t>Corporate Laws &amp; Challenges to the New Governments</w:t>
      </w:r>
      <w:r>
        <w:rPr>
          <w:rFonts w:ascii="SerifaBT-Roman" w:hAnsi="SerifaBT-Roman" w:hint="eastAsia"/>
          <w:sz w:val="32"/>
          <w:szCs w:val="32"/>
        </w:rPr>
        <w:t>’</w:t>
      </w:r>
      <w:r w:rsidR="00785A35">
        <w:rPr>
          <w:rFonts w:ascii="SerifaBT-Roman" w:hAnsi="SerifaBT-Roman"/>
          <w:sz w:val="32"/>
          <w:szCs w:val="32"/>
        </w:rPr>
        <w:t xml:space="preserve">at Hyderabad </w:t>
      </w:r>
      <w:r w:rsidRPr="00B77F59">
        <w:rPr>
          <w:rFonts w:ascii="SerifaBT-Roman" w:hAnsi="SerifaBT-Roman"/>
          <w:sz w:val="32"/>
          <w:szCs w:val="32"/>
        </w:rPr>
        <w:t>on 25</w:t>
      </w:r>
      <w:r w:rsidRPr="00D14669">
        <w:rPr>
          <w:rFonts w:ascii="SerifaBT-Roman" w:hAnsi="SerifaBT-Roman"/>
          <w:sz w:val="32"/>
          <w:szCs w:val="32"/>
          <w:vertAlign w:val="superscript"/>
        </w:rPr>
        <w:t>th</w:t>
      </w:r>
      <w:r w:rsidR="00D14669">
        <w:rPr>
          <w:rFonts w:ascii="SerifaBT-Roman" w:hAnsi="SerifaBT-Roman"/>
          <w:sz w:val="32"/>
          <w:szCs w:val="32"/>
        </w:rPr>
        <w:t xml:space="preserve"> </w:t>
      </w:r>
      <w:r w:rsidRPr="00B77F59">
        <w:rPr>
          <w:rFonts w:ascii="SerifaBT-Roman" w:hAnsi="SerifaBT-Roman"/>
          <w:sz w:val="32"/>
          <w:szCs w:val="32"/>
        </w:rPr>
        <w:t>and 26</w:t>
      </w:r>
      <w:r w:rsidRPr="00D14669">
        <w:rPr>
          <w:rFonts w:ascii="SerifaBT-Roman" w:hAnsi="SerifaBT-Roman"/>
          <w:sz w:val="32"/>
          <w:szCs w:val="32"/>
          <w:vertAlign w:val="superscript"/>
        </w:rPr>
        <w:t>th</w:t>
      </w:r>
      <w:r w:rsidR="00D14669">
        <w:rPr>
          <w:rFonts w:ascii="SerifaBT-Roman" w:hAnsi="SerifaBT-Roman"/>
          <w:sz w:val="32"/>
          <w:szCs w:val="32"/>
        </w:rPr>
        <w:t xml:space="preserve"> </w:t>
      </w:r>
      <w:r w:rsidRPr="00B77F59">
        <w:rPr>
          <w:rFonts w:ascii="SerifaBT-Roman" w:hAnsi="SerifaBT-Roman"/>
          <w:sz w:val="32"/>
          <w:szCs w:val="32"/>
        </w:rPr>
        <w:t>Jul</w:t>
      </w:r>
      <w:r w:rsidR="00D14669">
        <w:rPr>
          <w:rFonts w:ascii="SerifaBT-Roman" w:hAnsi="SerifaBT-Roman"/>
          <w:sz w:val="32"/>
          <w:szCs w:val="32"/>
        </w:rPr>
        <w:t>y,</w:t>
      </w:r>
      <w:r w:rsidRPr="00B77F59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9" w:history="1">
        <w:r w:rsidRPr="00B77F5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B77F59" w:rsidRDefault="00B77F59" w:rsidP="00E3190E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E3190E" w:rsidRDefault="00E3190E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0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B70E5" w:rsidRDefault="00CB70E5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DB0BA1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>The details of the Conference would be hosted in the ICSI website in due course.</w:t>
      </w:r>
    </w:p>
    <w:p w:rsidR="00CB70E5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1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44EF"/>
    <w:rsid w:val="00075A35"/>
    <w:rsid w:val="000848BE"/>
    <w:rsid w:val="000855E9"/>
    <w:rsid w:val="000A466C"/>
    <w:rsid w:val="000A4C15"/>
    <w:rsid w:val="000B088A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70B77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F06B1"/>
    <w:rsid w:val="0020118C"/>
    <w:rsid w:val="00207648"/>
    <w:rsid w:val="00214120"/>
    <w:rsid w:val="0021647B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3C9E"/>
    <w:rsid w:val="00294012"/>
    <w:rsid w:val="002A4646"/>
    <w:rsid w:val="002A6E2B"/>
    <w:rsid w:val="002C65E0"/>
    <w:rsid w:val="002D4EB7"/>
    <w:rsid w:val="002D5215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475BA"/>
    <w:rsid w:val="00351682"/>
    <w:rsid w:val="00351EB8"/>
    <w:rsid w:val="0036140E"/>
    <w:rsid w:val="00365F70"/>
    <w:rsid w:val="00372491"/>
    <w:rsid w:val="003744ED"/>
    <w:rsid w:val="0037721D"/>
    <w:rsid w:val="003A60C0"/>
    <w:rsid w:val="003A6159"/>
    <w:rsid w:val="003A70BB"/>
    <w:rsid w:val="003B3387"/>
    <w:rsid w:val="003B5CC9"/>
    <w:rsid w:val="003D0167"/>
    <w:rsid w:val="003D050E"/>
    <w:rsid w:val="003E6C36"/>
    <w:rsid w:val="003F443A"/>
    <w:rsid w:val="003F4D2B"/>
    <w:rsid w:val="003F70CF"/>
    <w:rsid w:val="004017E9"/>
    <w:rsid w:val="00401DB7"/>
    <w:rsid w:val="00405050"/>
    <w:rsid w:val="00416CF7"/>
    <w:rsid w:val="004204CA"/>
    <w:rsid w:val="00432104"/>
    <w:rsid w:val="00434461"/>
    <w:rsid w:val="00436B38"/>
    <w:rsid w:val="0044058B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A387A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39A4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6CAF"/>
    <w:rsid w:val="005B0944"/>
    <w:rsid w:val="005B0F3C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566D"/>
    <w:rsid w:val="0063789B"/>
    <w:rsid w:val="006400F3"/>
    <w:rsid w:val="0066053F"/>
    <w:rsid w:val="006729F4"/>
    <w:rsid w:val="006751D4"/>
    <w:rsid w:val="0067562B"/>
    <w:rsid w:val="00681E8C"/>
    <w:rsid w:val="00686D42"/>
    <w:rsid w:val="00687EAA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7087"/>
    <w:rsid w:val="007A3C36"/>
    <w:rsid w:val="007C2539"/>
    <w:rsid w:val="007D01CC"/>
    <w:rsid w:val="007E45B6"/>
    <w:rsid w:val="007E7F2A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733E5"/>
    <w:rsid w:val="00891AA2"/>
    <w:rsid w:val="0089582A"/>
    <w:rsid w:val="008A2E29"/>
    <w:rsid w:val="008A46EC"/>
    <w:rsid w:val="008A7360"/>
    <w:rsid w:val="008B091C"/>
    <w:rsid w:val="008B57A8"/>
    <w:rsid w:val="008B61D5"/>
    <w:rsid w:val="008B7226"/>
    <w:rsid w:val="008C27E1"/>
    <w:rsid w:val="008C44A0"/>
    <w:rsid w:val="008C5879"/>
    <w:rsid w:val="008C6F04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67CF"/>
    <w:rsid w:val="009040D9"/>
    <w:rsid w:val="00911466"/>
    <w:rsid w:val="00941EC9"/>
    <w:rsid w:val="00952CA0"/>
    <w:rsid w:val="00954853"/>
    <w:rsid w:val="00957524"/>
    <w:rsid w:val="00963DE6"/>
    <w:rsid w:val="00981441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B7E"/>
    <w:rsid w:val="009D3B9E"/>
    <w:rsid w:val="009D50B1"/>
    <w:rsid w:val="009D5155"/>
    <w:rsid w:val="009D6A78"/>
    <w:rsid w:val="009E059C"/>
    <w:rsid w:val="009E7E62"/>
    <w:rsid w:val="009F2B46"/>
    <w:rsid w:val="009F7F6E"/>
    <w:rsid w:val="00A01A5F"/>
    <w:rsid w:val="00A044FE"/>
    <w:rsid w:val="00A049C2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E2C"/>
    <w:rsid w:val="00A63666"/>
    <w:rsid w:val="00A67640"/>
    <w:rsid w:val="00A70C8C"/>
    <w:rsid w:val="00A71036"/>
    <w:rsid w:val="00A76BB3"/>
    <w:rsid w:val="00A76E7A"/>
    <w:rsid w:val="00A817A4"/>
    <w:rsid w:val="00AA6F8D"/>
    <w:rsid w:val="00AB0915"/>
    <w:rsid w:val="00AB4BAE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5713F"/>
    <w:rsid w:val="00B624D4"/>
    <w:rsid w:val="00B66463"/>
    <w:rsid w:val="00B702E4"/>
    <w:rsid w:val="00B70EAC"/>
    <w:rsid w:val="00B77F59"/>
    <w:rsid w:val="00B81F42"/>
    <w:rsid w:val="00B97704"/>
    <w:rsid w:val="00BA004D"/>
    <w:rsid w:val="00BA17AE"/>
    <w:rsid w:val="00BB4C09"/>
    <w:rsid w:val="00BC1D96"/>
    <w:rsid w:val="00BC393D"/>
    <w:rsid w:val="00BE08F8"/>
    <w:rsid w:val="00BE2B33"/>
    <w:rsid w:val="00BE2C17"/>
    <w:rsid w:val="00BE2CA9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28C3"/>
    <w:rsid w:val="00D41F69"/>
    <w:rsid w:val="00D52659"/>
    <w:rsid w:val="00D5592F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973EA"/>
    <w:rsid w:val="00DA09AF"/>
    <w:rsid w:val="00DA6CFB"/>
    <w:rsid w:val="00DB0BA1"/>
    <w:rsid w:val="00DB5143"/>
    <w:rsid w:val="00DB51E9"/>
    <w:rsid w:val="00DB5AE3"/>
    <w:rsid w:val="00DB7F10"/>
    <w:rsid w:val="00DC240B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6643"/>
    <w:rsid w:val="00E776B2"/>
    <w:rsid w:val="00E85DCE"/>
    <w:rsid w:val="00E8624A"/>
    <w:rsid w:val="00E8748B"/>
    <w:rsid w:val="00EA1B45"/>
    <w:rsid w:val="00EA45FF"/>
    <w:rsid w:val="00EA6DE9"/>
    <w:rsid w:val="00EA6F52"/>
    <w:rsid w:val="00EB013E"/>
    <w:rsid w:val="00EB0544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6B38"/>
    <w:rsid w:val="00F21AE0"/>
    <w:rsid w:val="00F22513"/>
    <w:rsid w:val="00F3232A"/>
    <w:rsid w:val="00F5620D"/>
    <w:rsid w:val="00F60F60"/>
    <w:rsid w:val="00F61560"/>
    <w:rsid w:val="00F640D0"/>
    <w:rsid w:val="00F82DC5"/>
    <w:rsid w:val="00F83537"/>
    <w:rsid w:val="00F84A9C"/>
    <w:rsid w:val="00F85599"/>
    <w:rsid w:val="00F94A33"/>
    <w:rsid w:val="00FA4685"/>
    <w:rsid w:val="00FA7BEC"/>
    <w:rsid w:val="00FA7FEF"/>
    <w:rsid w:val="00FC0EB3"/>
    <w:rsid w:val="00FC1646"/>
    <w:rsid w:val="00FC2F7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National%20Conference%20on%20Service%20Tax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to.org/english/res_e/booksp_e/analytic_index_e/ai_new_dev_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bidocs.rbi.org.in/rdocs/notification/PDFs/SB646E61D25A7948641A88C8D6B0DBB608B28.PDF" TargetMode="External"/><Relationship Id="rId11" Type="http://schemas.openxmlformats.org/officeDocument/2006/relationships/hyperlink" Target="mailto:csupdate@icsi.edu" TargetMode="External"/><Relationship Id="rId5" Type="http://schemas.openxmlformats.org/officeDocument/2006/relationships/hyperlink" Target="http://mca.gov.in/Ministry/pdf/General_Circular_9-2015.pdf" TargetMode="External"/><Relationship Id="rId10" Type="http://schemas.openxmlformats.org/officeDocument/2006/relationships/hyperlink" Target="https://www.icsi.edu/Docs/Website/BROCHURE_NAT_CONF_CC_LISTED_COMPJUNE29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National%20Seminar%20cspgcl%20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177</cp:revision>
  <dcterms:created xsi:type="dcterms:W3CDTF">2015-05-29T04:45:00Z</dcterms:created>
  <dcterms:modified xsi:type="dcterms:W3CDTF">2015-06-19T04:19:00Z</dcterms:modified>
</cp:coreProperties>
</file>