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1C789D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6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Pr="00DF3B13" w:rsidRDefault="00484A40" w:rsidP="00411057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E23402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E23402" w:rsidRPr="00E23402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 xml:space="preserve">Our environment, the world in which we live and work, is a mirror of </w:t>
      </w:r>
      <w:r w:rsidR="00E23402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our attitudes and expectations.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374676" w:rsidRPr="005A72A9" w:rsidRDefault="00E23402" w:rsidP="00E1137B">
      <w:pPr>
        <w:pStyle w:val="ListParagraph"/>
        <w:numPr>
          <w:ilvl w:val="0"/>
          <w:numId w:val="8"/>
        </w:numPr>
        <w:spacing w:after="120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E23402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Earl Nightingale</w:t>
      </w:r>
    </w:p>
    <w:p w:rsidR="00A25C12" w:rsidRDefault="000643FE" w:rsidP="00411057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156CE2" w:rsidRPr="00A25C12" w:rsidRDefault="001C789D" w:rsidP="00E84C1A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1C789D">
        <w:rPr>
          <w:rFonts w:ascii="SerifaBT-Roman" w:hAnsi="SerifaBT-Roman"/>
          <w:bCs/>
          <w:sz w:val="32"/>
          <w:szCs w:val="32"/>
        </w:rPr>
        <w:t>Competi</w:t>
      </w:r>
      <w:r w:rsidR="00E1137B">
        <w:rPr>
          <w:rFonts w:ascii="SerifaBT-Roman" w:hAnsi="SerifaBT-Roman"/>
          <w:bCs/>
          <w:sz w:val="32"/>
          <w:szCs w:val="32"/>
        </w:rPr>
        <w:t>tion Commission of India (CCI) a</w:t>
      </w:r>
      <w:r w:rsidRPr="001C789D">
        <w:rPr>
          <w:rFonts w:ascii="SerifaBT-Roman" w:hAnsi="SerifaBT-Roman"/>
          <w:bCs/>
          <w:sz w:val="32"/>
          <w:szCs w:val="32"/>
        </w:rPr>
        <w:t>mends its Combination Regulations</w:t>
      </w:r>
      <w:r w:rsidR="00A25C12" w:rsidRPr="00A25C12">
        <w:rPr>
          <w:rFonts w:ascii="SerifaBT-Roman" w:hAnsi="SerifaBT-Roman"/>
          <w:bCs/>
          <w:sz w:val="32"/>
          <w:szCs w:val="32"/>
        </w:rPr>
        <w:t>.</w:t>
      </w:r>
      <w:r w:rsidR="00156CE2">
        <w:rPr>
          <w:rFonts w:ascii="SerifaBT-Roman" w:hAnsi="SerifaBT-Roman"/>
          <w:bCs/>
          <w:sz w:val="32"/>
          <w:szCs w:val="32"/>
        </w:rPr>
        <w:t xml:space="preserve"> For details </w:t>
      </w:r>
      <w:hyperlink r:id="rId5" w:history="1">
        <w:r w:rsidR="00156CE2" w:rsidRPr="00156CE2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</w:t>
        </w:r>
        <w:r w:rsidR="00156CE2" w:rsidRPr="00156CE2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k</w:t>
        </w:r>
        <w:r w:rsidR="00156CE2" w:rsidRPr="00156CE2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 xml:space="preserve"> here</w:t>
        </w:r>
      </w:hyperlink>
    </w:p>
    <w:p w:rsidR="00156CE2" w:rsidRDefault="00156CE2" w:rsidP="00BE269A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</w:p>
    <w:p w:rsidR="00997F6B" w:rsidRDefault="006B0D72" w:rsidP="00997F6B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</w:rPr>
      </w:pPr>
      <w:proofErr w:type="gramStart"/>
      <w:r>
        <w:rPr>
          <w:rFonts w:ascii="SerifaBT-Roman" w:hAnsi="SerifaBT-Roman"/>
          <w:bCs/>
          <w:sz w:val="32"/>
          <w:szCs w:val="32"/>
        </w:rPr>
        <w:t>Notification of t</w:t>
      </w:r>
      <w:r w:rsidR="001C789D" w:rsidRPr="001C789D">
        <w:rPr>
          <w:rFonts w:ascii="SerifaBT-Roman" w:hAnsi="SerifaBT-Roman"/>
          <w:bCs/>
          <w:sz w:val="32"/>
          <w:szCs w:val="32"/>
        </w:rPr>
        <w:t>he Black Money (Undisclosed Foreign Income and Assets) and Imposition of Tax Rules, 2015</w:t>
      </w:r>
      <w:r w:rsidR="00997F6B">
        <w:rPr>
          <w:rFonts w:ascii="SerifaBT-Roman" w:hAnsi="SerifaBT-Roman"/>
          <w:bCs/>
          <w:sz w:val="32"/>
          <w:szCs w:val="32"/>
        </w:rPr>
        <w:t>.</w:t>
      </w:r>
      <w:proofErr w:type="gramEnd"/>
      <w:r w:rsidR="00997F6B">
        <w:rPr>
          <w:rFonts w:ascii="SerifaBT-Roman" w:hAnsi="SerifaBT-Roman"/>
          <w:bCs/>
          <w:sz w:val="32"/>
          <w:szCs w:val="32"/>
        </w:rPr>
        <w:t xml:space="preserve"> For details </w:t>
      </w:r>
      <w:hyperlink r:id="rId6" w:history="1">
        <w:r w:rsidR="00997F6B" w:rsidRPr="00997F6B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</w:t>
        </w:r>
        <w:r w:rsidR="00997F6B" w:rsidRPr="00997F6B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 xml:space="preserve"> </w:t>
        </w:r>
        <w:r w:rsidR="00997F6B" w:rsidRPr="00997F6B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here</w:t>
        </w:r>
      </w:hyperlink>
    </w:p>
    <w:p w:rsidR="00000ED3" w:rsidRDefault="00000ED3" w:rsidP="00997F6B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</w:rPr>
      </w:pPr>
    </w:p>
    <w:p w:rsidR="00000ED3" w:rsidRDefault="006B0D72" w:rsidP="001C789D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  <w:r>
        <w:rPr>
          <w:rFonts w:ascii="SerifaBT-Roman" w:hAnsi="SerifaBT-Roman"/>
          <w:bCs/>
          <w:sz w:val="32"/>
          <w:szCs w:val="32"/>
        </w:rPr>
        <w:t xml:space="preserve">CBDT issued </w:t>
      </w:r>
      <w:r w:rsidR="001C789D" w:rsidRPr="001C789D">
        <w:rPr>
          <w:rFonts w:ascii="SerifaBT-Roman" w:hAnsi="SerifaBT-Roman"/>
          <w:bCs/>
          <w:sz w:val="32"/>
          <w:szCs w:val="32"/>
        </w:rPr>
        <w:t>explanatory Notes on Provisions relating to Tax Compliance for</w:t>
      </w:r>
      <w:r w:rsidR="001C789D">
        <w:rPr>
          <w:rFonts w:ascii="SerifaBT-Roman" w:hAnsi="SerifaBT-Roman"/>
          <w:bCs/>
          <w:sz w:val="32"/>
          <w:szCs w:val="32"/>
        </w:rPr>
        <w:t xml:space="preserve"> </w:t>
      </w:r>
      <w:r w:rsidRPr="001C789D">
        <w:rPr>
          <w:rFonts w:ascii="SerifaBT-Roman" w:hAnsi="SerifaBT-Roman"/>
          <w:bCs/>
          <w:sz w:val="32"/>
          <w:szCs w:val="32"/>
        </w:rPr>
        <w:t xml:space="preserve">Undisclosed Foreign Income and Assets as provided in Chapter </w:t>
      </w:r>
      <w:r w:rsidR="001C789D" w:rsidRPr="001C789D">
        <w:rPr>
          <w:rFonts w:ascii="SerifaBT-Roman" w:hAnsi="SerifaBT-Roman"/>
          <w:bCs/>
          <w:sz w:val="32"/>
          <w:szCs w:val="32"/>
        </w:rPr>
        <w:t>VI</w:t>
      </w:r>
      <w:r>
        <w:rPr>
          <w:rFonts w:ascii="SerifaBT-Roman" w:hAnsi="SerifaBT-Roman"/>
          <w:bCs/>
          <w:sz w:val="32"/>
          <w:szCs w:val="32"/>
        </w:rPr>
        <w:t xml:space="preserve"> </w:t>
      </w:r>
      <w:r w:rsidRPr="001C789D">
        <w:rPr>
          <w:rFonts w:ascii="SerifaBT-Roman" w:hAnsi="SerifaBT-Roman"/>
          <w:bCs/>
          <w:sz w:val="32"/>
          <w:szCs w:val="32"/>
        </w:rPr>
        <w:t xml:space="preserve">of the Black Money </w:t>
      </w:r>
      <w:r w:rsidR="001C789D" w:rsidRPr="001C789D">
        <w:rPr>
          <w:rFonts w:ascii="SerifaBT-Roman" w:hAnsi="SerifaBT-Roman"/>
          <w:bCs/>
          <w:sz w:val="32"/>
          <w:szCs w:val="32"/>
        </w:rPr>
        <w:t>(</w:t>
      </w:r>
      <w:r w:rsidRPr="001C789D">
        <w:rPr>
          <w:rFonts w:ascii="SerifaBT-Roman" w:hAnsi="SerifaBT-Roman"/>
          <w:bCs/>
          <w:sz w:val="32"/>
          <w:szCs w:val="32"/>
        </w:rPr>
        <w:t>Undisclosed Foreign Income and Assets</w:t>
      </w:r>
      <w:r w:rsidR="001C789D" w:rsidRPr="001C789D">
        <w:rPr>
          <w:rFonts w:ascii="SerifaBT-Roman" w:hAnsi="SerifaBT-Roman"/>
          <w:bCs/>
          <w:sz w:val="32"/>
          <w:szCs w:val="32"/>
        </w:rPr>
        <w:t xml:space="preserve">) </w:t>
      </w:r>
      <w:r w:rsidRPr="001C789D">
        <w:rPr>
          <w:rFonts w:ascii="SerifaBT-Roman" w:hAnsi="SerifaBT-Roman"/>
          <w:bCs/>
          <w:sz w:val="32"/>
          <w:szCs w:val="32"/>
        </w:rPr>
        <w:t>and</w:t>
      </w:r>
      <w:r>
        <w:rPr>
          <w:rFonts w:ascii="SerifaBT-Roman" w:hAnsi="SerifaBT-Roman"/>
          <w:bCs/>
          <w:sz w:val="32"/>
          <w:szCs w:val="32"/>
        </w:rPr>
        <w:t xml:space="preserve"> </w:t>
      </w:r>
      <w:r w:rsidRPr="001C789D">
        <w:rPr>
          <w:rFonts w:ascii="SerifaBT-Roman" w:hAnsi="SerifaBT-Roman"/>
          <w:bCs/>
          <w:sz w:val="32"/>
          <w:szCs w:val="32"/>
        </w:rPr>
        <w:t>Imposition of Tax Act</w:t>
      </w:r>
      <w:r w:rsidR="001C789D" w:rsidRPr="001C789D">
        <w:rPr>
          <w:rFonts w:ascii="SerifaBT-Roman" w:hAnsi="SerifaBT-Roman"/>
          <w:bCs/>
          <w:sz w:val="32"/>
          <w:szCs w:val="32"/>
        </w:rPr>
        <w:t>, 2015</w:t>
      </w:r>
      <w:r w:rsidR="00000ED3">
        <w:rPr>
          <w:rFonts w:ascii="SerifaBT-Roman" w:hAnsi="SerifaBT-Roman"/>
          <w:bCs/>
          <w:sz w:val="32"/>
          <w:szCs w:val="32"/>
        </w:rPr>
        <w:t xml:space="preserve">. For details </w:t>
      </w:r>
      <w:hyperlink r:id="rId7" w:history="1">
        <w:r w:rsidR="00000ED3" w:rsidRPr="00000ED3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</w:t>
        </w:r>
        <w:r w:rsidR="00000ED3" w:rsidRPr="00000ED3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</w:t>
        </w:r>
        <w:r w:rsidR="00000ED3" w:rsidRPr="00000ED3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k here</w:t>
        </w:r>
      </w:hyperlink>
    </w:p>
    <w:p w:rsidR="0069377C" w:rsidRDefault="0069377C" w:rsidP="00BE269A">
      <w:pPr>
        <w:spacing w:before="120" w:after="120"/>
        <w:jc w:val="both"/>
      </w:pPr>
    </w:p>
    <w:p w:rsidR="00484A40" w:rsidRPr="00DF3B13" w:rsidRDefault="00484A40" w:rsidP="00674CDC">
      <w:pPr>
        <w:spacing w:before="36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61AE5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Judicium</w:t>
      </w:r>
      <w:proofErr w:type="spellEnd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non </w:t>
      </w:r>
      <w:proofErr w:type="spellStart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debet</w:t>
      </w:r>
      <w:proofErr w:type="spellEnd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esse</w:t>
      </w:r>
      <w:proofErr w:type="spellEnd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illusorium</w:t>
      </w:r>
      <w:proofErr w:type="spellEnd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, </w:t>
      </w:r>
      <w:proofErr w:type="spellStart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suum</w:t>
      </w:r>
      <w:proofErr w:type="spellEnd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effectum</w:t>
      </w:r>
      <w:proofErr w:type="spellEnd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habere</w:t>
      </w:r>
      <w:proofErr w:type="spellEnd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AA5501" w:rsidRPr="00AA550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debet</w:t>
      </w:r>
      <w:proofErr w:type="spellEnd"/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D61AE5" w:rsidRDefault="00AA5501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32"/>
          <w:szCs w:val="32"/>
        </w:rPr>
      </w:pPr>
      <w:r w:rsidRPr="00AA5501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>A judgment ought not to be illusory; it ought to have its proper effect.</w:t>
      </w:r>
    </w:p>
    <w:p w:rsidR="00EC64F6" w:rsidRDefault="00EC64F6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674CD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3E38A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3E38A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2</w:t>
      </w:r>
      <w:r w:rsidR="00D85A92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F9331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3472E" w:rsidTr="00DF3B13">
        <w:tc>
          <w:tcPr>
            <w:tcW w:w="28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63472E" w:rsidRDefault="00484A40" w:rsidP="003E38AF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3E38A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7844</w:t>
            </w:r>
            <w:r w:rsidR="00A01A5F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3E38A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</w:t>
            </w:r>
            <w:r w:rsidR="00D85A9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</w:t>
            </w:r>
            <w:r w:rsidR="0030479B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3E38A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3E38A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248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3E38AF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28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63472E" w:rsidRDefault="00A01A5F" w:rsidP="003E38AF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13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35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71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63472E" w:rsidRDefault="00484A40" w:rsidP="003E38AF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E96E66"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350</w:t>
            </w:r>
            <w:r w:rsidR="00050D1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941EC9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155</w:t>
            </w:r>
            <w:r w:rsidR="006D5219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63472E" w:rsidRDefault="00484A40" w:rsidP="003E38AF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3475BA" w:rsidRPr="0063472E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80775B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3E38AF">
              <w:rPr>
                <w:rFonts w:ascii="SerifaBT-Roman" w:hAnsi="SerifaBT-Roman"/>
                <w:bCs/>
                <w:sz w:val="28"/>
                <w:szCs w:val="28"/>
              </w:rPr>
              <w:t>05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C64F6" w:rsidRDefault="00EC64F6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A2D7C" w:rsidRDefault="00351682" w:rsidP="00413EF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lastRenderedPageBreak/>
        <w:t>ICSI Update</w:t>
      </w:r>
    </w:p>
    <w:p w:rsidR="005F61E0" w:rsidRDefault="005F61E0" w:rsidP="005F61E0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 xml:space="preserve">For details </w:t>
      </w:r>
      <w:hyperlink r:id="rId8" w:history="1">
        <w:r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Cli</w:t>
        </w:r>
        <w:r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</w:t>
        </w:r>
        <w:r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k here</w:t>
        </w:r>
      </w:hyperlink>
      <w:r w:rsidR="00074A30">
        <w:rPr>
          <w:rFonts w:ascii="SerifaBT-Roman" w:hAnsi="SerifaBT-Roman"/>
          <w:sz w:val="32"/>
          <w:szCs w:val="32"/>
        </w:rPr>
        <w:t>.</w:t>
      </w:r>
      <w:proofErr w:type="gramEnd"/>
      <w:r w:rsidR="00074A30">
        <w:rPr>
          <w:rFonts w:ascii="SerifaBT-Roman" w:hAnsi="SerifaBT-Roman"/>
          <w:sz w:val="32"/>
          <w:szCs w:val="32"/>
        </w:rPr>
        <w:t xml:space="preserve"> For registration </w:t>
      </w:r>
      <w:hyperlink r:id="rId9" w:history="1">
        <w:r w:rsidR="00074A30" w:rsidRPr="00074A30">
          <w:rPr>
            <w:rStyle w:val="Hyperlink"/>
            <w:rFonts w:ascii="SerifaBT-Roman" w:hAnsi="SerifaBT-Roman"/>
            <w:color w:val="FF0000"/>
            <w:sz w:val="32"/>
            <w:szCs w:val="32"/>
          </w:rPr>
          <w:t>clic</w:t>
        </w:r>
        <w:r w:rsidR="00074A30" w:rsidRPr="00074A30">
          <w:rPr>
            <w:rStyle w:val="Hyperlink"/>
            <w:rFonts w:ascii="SerifaBT-Roman" w:hAnsi="SerifaBT-Roman"/>
            <w:color w:val="FF0000"/>
            <w:sz w:val="32"/>
            <w:szCs w:val="32"/>
          </w:rPr>
          <w:t>k</w:t>
        </w:r>
        <w:r w:rsidR="00074A30" w:rsidRPr="00074A30">
          <w:rPr>
            <w:rStyle w:val="Hyperlink"/>
            <w:rFonts w:ascii="SerifaBT-Roman" w:hAnsi="SerifaBT-Roman"/>
            <w:color w:val="FF0000"/>
            <w:sz w:val="32"/>
            <w:szCs w:val="32"/>
          </w:rPr>
          <w:t xml:space="preserve"> here</w:t>
        </w:r>
      </w:hyperlink>
      <w:r>
        <w:rPr>
          <w:rFonts w:ascii="SerifaBT-Roman" w:hAnsi="SerifaBT-Roman"/>
          <w:sz w:val="32"/>
          <w:szCs w:val="32"/>
        </w:rPr>
        <w:t xml:space="preserve"> </w:t>
      </w:r>
    </w:p>
    <w:p w:rsidR="005F61E0" w:rsidRDefault="005F61E0" w:rsidP="005F61E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84C1A" w:rsidRPr="00E84C1A" w:rsidRDefault="00E84C1A" w:rsidP="005F61E0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E84C1A">
        <w:rPr>
          <w:rFonts w:ascii="SerifaBT-Roman" w:hAnsi="SerifaBT-Roman"/>
          <w:sz w:val="32"/>
          <w:szCs w:val="32"/>
        </w:rPr>
        <w:t>Workshop on Service Tax on July 17,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0" w:history="1">
        <w:r w:rsidRPr="00E84C1A">
          <w:rPr>
            <w:rStyle w:val="Hyperlink"/>
            <w:rFonts w:ascii="SerifaBT-Roman" w:hAnsi="SerifaBT-Roman"/>
            <w:color w:val="FF0000"/>
            <w:sz w:val="32"/>
            <w:szCs w:val="32"/>
          </w:rPr>
          <w:t>clic</w:t>
        </w:r>
        <w:r w:rsidRPr="00E84C1A">
          <w:rPr>
            <w:rStyle w:val="Hyperlink"/>
            <w:rFonts w:ascii="SerifaBT-Roman" w:hAnsi="SerifaBT-Roman"/>
            <w:color w:val="FF0000"/>
            <w:sz w:val="32"/>
            <w:szCs w:val="32"/>
          </w:rPr>
          <w:t>k</w:t>
        </w:r>
        <w:r w:rsidRPr="00E84C1A">
          <w:rPr>
            <w:rStyle w:val="Hyperlink"/>
            <w:rFonts w:ascii="SerifaBT-Roman" w:hAnsi="SerifaBT-Roman"/>
            <w:color w:val="FF0000"/>
            <w:sz w:val="32"/>
            <w:szCs w:val="32"/>
          </w:rPr>
          <w:t xml:space="preserve"> here</w:t>
        </w:r>
      </w:hyperlink>
    </w:p>
    <w:p w:rsidR="00E84C1A" w:rsidRPr="00EA2D7C" w:rsidRDefault="00E84C1A" w:rsidP="005F61E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D31C86" w:rsidRDefault="00D31C86" w:rsidP="00EA2D7C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31C86">
        <w:rPr>
          <w:rFonts w:ascii="SerifaBT-Roman" w:hAnsi="SerifaBT-Roman"/>
          <w:sz w:val="32"/>
          <w:szCs w:val="32"/>
        </w:rPr>
        <w:t xml:space="preserve">National Seminar on Secretarial Audit and Secretarial Standards at </w:t>
      </w:r>
      <w:proofErr w:type="spellStart"/>
      <w:r w:rsidRPr="00D31C86">
        <w:rPr>
          <w:rFonts w:ascii="SerifaBT-Roman" w:hAnsi="SerifaBT-Roman"/>
          <w:sz w:val="32"/>
          <w:szCs w:val="32"/>
        </w:rPr>
        <w:t>Thiruvananthapuram</w:t>
      </w:r>
      <w:proofErr w:type="spellEnd"/>
      <w:r w:rsidRPr="00D31C86">
        <w:rPr>
          <w:rFonts w:ascii="SerifaBT-Roman" w:hAnsi="SerifaBT-Roman"/>
          <w:sz w:val="32"/>
          <w:szCs w:val="32"/>
        </w:rPr>
        <w:t xml:space="preserve"> on July 19</w:t>
      </w:r>
      <w:r w:rsidR="00FA4140">
        <w:rPr>
          <w:rFonts w:ascii="SerifaBT-Roman" w:hAnsi="SerifaBT-Roman"/>
          <w:sz w:val="32"/>
          <w:szCs w:val="32"/>
        </w:rPr>
        <w:t>,</w:t>
      </w:r>
      <w:r w:rsidRPr="00D31C86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 For details</w:t>
      </w:r>
      <w:r w:rsidRPr="00D31C86">
        <w:rPr>
          <w:rFonts w:ascii="SerifaBT-Roman" w:hAnsi="SerifaBT-Roman"/>
          <w:color w:val="FF0000"/>
          <w:sz w:val="32"/>
          <w:szCs w:val="32"/>
        </w:rPr>
        <w:t xml:space="preserve"> </w:t>
      </w:r>
      <w:hyperlink r:id="rId11" w:history="1">
        <w:r w:rsidRPr="00D31C86">
          <w:rPr>
            <w:rStyle w:val="Hyperlink"/>
            <w:rFonts w:ascii="SerifaBT-Roman" w:hAnsi="SerifaBT-Roman"/>
            <w:color w:val="FF0000"/>
            <w:sz w:val="32"/>
            <w:szCs w:val="32"/>
          </w:rPr>
          <w:t>cli</w:t>
        </w:r>
        <w:r w:rsidRPr="00D31C86">
          <w:rPr>
            <w:rStyle w:val="Hyperlink"/>
            <w:rFonts w:ascii="SerifaBT-Roman" w:hAnsi="SerifaBT-Roman"/>
            <w:color w:val="FF0000"/>
            <w:sz w:val="32"/>
            <w:szCs w:val="32"/>
          </w:rPr>
          <w:t>c</w:t>
        </w:r>
        <w:r w:rsidRPr="00D31C86">
          <w:rPr>
            <w:rStyle w:val="Hyperlink"/>
            <w:rFonts w:ascii="SerifaBT-Roman" w:hAnsi="SerifaBT-Roman"/>
            <w:color w:val="FF0000"/>
            <w:sz w:val="32"/>
            <w:szCs w:val="32"/>
          </w:rPr>
          <w:t>k here</w:t>
        </w:r>
      </w:hyperlink>
    </w:p>
    <w:p w:rsidR="00C9178D" w:rsidRDefault="00C9178D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A10DDF" w:rsidRDefault="00A10DDF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A10DDF">
        <w:rPr>
          <w:rFonts w:ascii="SerifaBT-Roman" w:hAnsi="SerifaBT-Roman"/>
          <w:sz w:val="32"/>
          <w:szCs w:val="32"/>
        </w:rPr>
        <w:t>National Conference on Competition Law Compliances by Enterprises on July 20, 2015 at Kolkata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2" w:history="1">
        <w:r w:rsidRPr="00A10DDF">
          <w:rPr>
            <w:rStyle w:val="Hyperlink"/>
            <w:rFonts w:ascii="SerifaBT-Roman" w:hAnsi="SerifaBT-Roman"/>
            <w:color w:val="FF0000"/>
            <w:sz w:val="32"/>
            <w:szCs w:val="32"/>
          </w:rPr>
          <w:t>click</w:t>
        </w:r>
        <w:r w:rsidRPr="00A10DDF">
          <w:rPr>
            <w:rStyle w:val="Hyperlink"/>
            <w:rFonts w:ascii="SerifaBT-Roman" w:hAnsi="SerifaBT-Roman"/>
            <w:color w:val="FF0000"/>
            <w:sz w:val="32"/>
            <w:szCs w:val="32"/>
          </w:rPr>
          <w:t xml:space="preserve"> </w:t>
        </w:r>
        <w:r w:rsidRPr="00A10DDF">
          <w:rPr>
            <w:rStyle w:val="Hyperlink"/>
            <w:rFonts w:ascii="SerifaBT-Roman" w:hAnsi="SerifaBT-Roman"/>
            <w:color w:val="FF0000"/>
            <w:sz w:val="32"/>
            <w:szCs w:val="32"/>
          </w:rPr>
          <w:t>here</w:t>
        </w:r>
      </w:hyperlink>
    </w:p>
    <w:p w:rsidR="00A10DDF" w:rsidRDefault="00A10DDF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F4566A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Pr="00F4566A">
        <w:rPr>
          <w:rFonts w:ascii="SerifaBT-Roman" w:hAnsi="SerifaBT-Roman"/>
          <w:sz w:val="32"/>
          <w:szCs w:val="32"/>
        </w:rPr>
        <w:t xml:space="preserve"> National Research Seminar on Corporate Laws &amp; Challenges to the New Governments on 25-26 Jul</w:t>
      </w:r>
      <w:r>
        <w:rPr>
          <w:rFonts w:ascii="SerifaBT-Roman" w:hAnsi="SerifaBT-Roman"/>
          <w:sz w:val="32"/>
          <w:szCs w:val="32"/>
        </w:rPr>
        <w:t>y,</w:t>
      </w:r>
      <w:r w:rsidRPr="00F4566A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 w:rsidRPr="00F4566A"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 xml:space="preserve">For details </w:t>
      </w:r>
      <w:hyperlink r:id="rId13" w:history="1"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click</w:t>
        </w:r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 xml:space="preserve"> </w:t>
        </w:r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here</w:t>
        </w:r>
      </w:hyperlink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F4566A">
        <w:rPr>
          <w:rFonts w:ascii="SerifaBT-Roman" w:hAnsi="SerifaBT-Roman"/>
          <w:sz w:val="32"/>
          <w:szCs w:val="32"/>
        </w:rPr>
        <w:t xml:space="preserve">For Registration </w:t>
      </w:r>
      <w:hyperlink r:id="rId14" w:history="1">
        <w:r>
          <w:rPr>
            <w:rStyle w:val="Hyperlink"/>
            <w:rFonts w:ascii="SerifaBT-Roman" w:hAnsi="SerifaBT-Roman"/>
            <w:color w:val="FF0000"/>
            <w:sz w:val="32"/>
            <w:szCs w:val="32"/>
          </w:rPr>
          <w:t>clic</w:t>
        </w:r>
        <w:r>
          <w:rPr>
            <w:rStyle w:val="Hyperlink"/>
            <w:rFonts w:ascii="SerifaBT-Roman" w:hAnsi="SerifaBT-Roman"/>
            <w:color w:val="FF0000"/>
            <w:sz w:val="32"/>
            <w:szCs w:val="32"/>
          </w:rPr>
          <w:t>k</w:t>
        </w:r>
        <w:r>
          <w:rPr>
            <w:rStyle w:val="Hyperlink"/>
            <w:rFonts w:ascii="SerifaBT-Roman" w:hAnsi="SerifaBT-Roman"/>
            <w:color w:val="FF0000"/>
            <w:sz w:val="32"/>
            <w:szCs w:val="32"/>
          </w:rPr>
          <w:t xml:space="preserve"> h</w:t>
        </w:r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5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4A30"/>
    <w:rsid w:val="00075A35"/>
    <w:rsid w:val="00077B00"/>
    <w:rsid w:val="000848BE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174F"/>
    <w:rsid w:val="000F232B"/>
    <w:rsid w:val="001019A6"/>
    <w:rsid w:val="001023DF"/>
    <w:rsid w:val="00103D1A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2A12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C789D"/>
    <w:rsid w:val="001D7560"/>
    <w:rsid w:val="001D7F92"/>
    <w:rsid w:val="001D7FF5"/>
    <w:rsid w:val="001E7983"/>
    <w:rsid w:val="001F06B1"/>
    <w:rsid w:val="0020118C"/>
    <w:rsid w:val="00207648"/>
    <w:rsid w:val="002104F1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1793"/>
    <w:rsid w:val="002D4EB7"/>
    <w:rsid w:val="002D5215"/>
    <w:rsid w:val="002E7295"/>
    <w:rsid w:val="002E72FB"/>
    <w:rsid w:val="002F07F9"/>
    <w:rsid w:val="002F4D0A"/>
    <w:rsid w:val="002F5C7E"/>
    <w:rsid w:val="002F6E0B"/>
    <w:rsid w:val="0030479B"/>
    <w:rsid w:val="003051C8"/>
    <w:rsid w:val="00310EBE"/>
    <w:rsid w:val="003346ED"/>
    <w:rsid w:val="00335C9B"/>
    <w:rsid w:val="00342AB0"/>
    <w:rsid w:val="003475BA"/>
    <w:rsid w:val="00351682"/>
    <w:rsid w:val="00351EB8"/>
    <w:rsid w:val="0036140E"/>
    <w:rsid w:val="00365F70"/>
    <w:rsid w:val="00372491"/>
    <w:rsid w:val="00373DCA"/>
    <w:rsid w:val="003744ED"/>
    <w:rsid w:val="00374676"/>
    <w:rsid w:val="0037721D"/>
    <w:rsid w:val="003A60C0"/>
    <w:rsid w:val="003A6159"/>
    <w:rsid w:val="003A70BB"/>
    <w:rsid w:val="003B3387"/>
    <w:rsid w:val="003B5CC9"/>
    <w:rsid w:val="003D0167"/>
    <w:rsid w:val="003D050E"/>
    <w:rsid w:val="003E38AF"/>
    <w:rsid w:val="003E6C36"/>
    <w:rsid w:val="003F443A"/>
    <w:rsid w:val="003F4D2B"/>
    <w:rsid w:val="003F70CF"/>
    <w:rsid w:val="00401DB7"/>
    <w:rsid w:val="00405050"/>
    <w:rsid w:val="00411057"/>
    <w:rsid w:val="00413EFC"/>
    <w:rsid w:val="00416CF7"/>
    <w:rsid w:val="004204CA"/>
    <w:rsid w:val="00432104"/>
    <w:rsid w:val="00434461"/>
    <w:rsid w:val="00436B38"/>
    <w:rsid w:val="0044058B"/>
    <w:rsid w:val="00444002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A72A9"/>
    <w:rsid w:val="005B0944"/>
    <w:rsid w:val="005B0F3C"/>
    <w:rsid w:val="005C34D8"/>
    <w:rsid w:val="005D300D"/>
    <w:rsid w:val="005D7DC4"/>
    <w:rsid w:val="005E1D8C"/>
    <w:rsid w:val="005E4CE1"/>
    <w:rsid w:val="005E5A1D"/>
    <w:rsid w:val="005F003D"/>
    <w:rsid w:val="005F61E0"/>
    <w:rsid w:val="00601091"/>
    <w:rsid w:val="00610570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4CDC"/>
    <w:rsid w:val="006751D4"/>
    <w:rsid w:val="0067562B"/>
    <w:rsid w:val="00681E8C"/>
    <w:rsid w:val="00686D42"/>
    <w:rsid w:val="00687EAA"/>
    <w:rsid w:val="0069377C"/>
    <w:rsid w:val="006A54FC"/>
    <w:rsid w:val="006B0D72"/>
    <w:rsid w:val="006D5219"/>
    <w:rsid w:val="006D7B4F"/>
    <w:rsid w:val="006F0D70"/>
    <w:rsid w:val="006F36B8"/>
    <w:rsid w:val="00706626"/>
    <w:rsid w:val="0070747E"/>
    <w:rsid w:val="00715499"/>
    <w:rsid w:val="00730A0A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E259D"/>
    <w:rsid w:val="007E45B6"/>
    <w:rsid w:val="007E57E8"/>
    <w:rsid w:val="007E7F2A"/>
    <w:rsid w:val="00805116"/>
    <w:rsid w:val="00805706"/>
    <w:rsid w:val="0080722A"/>
    <w:rsid w:val="0080775B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86AC9"/>
    <w:rsid w:val="00890859"/>
    <w:rsid w:val="00891AA2"/>
    <w:rsid w:val="0089582A"/>
    <w:rsid w:val="008A2E29"/>
    <w:rsid w:val="008A46EC"/>
    <w:rsid w:val="008A7360"/>
    <w:rsid w:val="008B091C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11466"/>
    <w:rsid w:val="00941EC9"/>
    <w:rsid w:val="00952CA0"/>
    <w:rsid w:val="00954853"/>
    <w:rsid w:val="00957524"/>
    <w:rsid w:val="00957D35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7767"/>
    <w:rsid w:val="009B1946"/>
    <w:rsid w:val="009B3798"/>
    <w:rsid w:val="009B3AE1"/>
    <w:rsid w:val="009B5164"/>
    <w:rsid w:val="009C41A1"/>
    <w:rsid w:val="009C4B7E"/>
    <w:rsid w:val="009D3B9E"/>
    <w:rsid w:val="009D50B1"/>
    <w:rsid w:val="009D5155"/>
    <w:rsid w:val="009D6A78"/>
    <w:rsid w:val="009E059C"/>
    <w:rsid w:val="009E75D1"/>
    <w:rsid w:val="009E7E62"/>
    <w:rsid w:val="009F2153"/>
    <w:rsid w:val="009F2B46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690B"/>
    <w:rsid w:val="00A258D5"/>
    <w:rsid w:val="00A25C12"/>
    <w:rsid w:val="00A313EC"/>
    <w:rsid w:val="00A44826"/>
    <w:rsid w:val="00A45DAE"/>
    <w:rsid w:val="00A55221"/>
    <w:rsid w:val="00A552CC"/>
    <w:rsid w:val="00A56842"/>
    <w:rsid w:val="00A6140D"/>
    <w:rsid w:val="00A61E2C"/>
    <w:rsid w:val="00A63666"/>
    <w:rsid w:val="00A67640"/>
    <w:rsid w:val="00A70C8C"/>
    <w:rsid w:val="00A71036"/>
    <w:rsid w:val="00A76BB3"/>
    <w:rsid w:val="00A76E7A"/>
    <w:rsid w:val="00A817A4"/>
    <w:rsid w:val="00A84784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066C"/>
    <w:rsid w:val="00B5713F"/>
    <w:rsid w:val="00B624D4"/>
    <w:rsid w:val="00B66463"/>
    <w:rsid w:val="00B66790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4C09"/>
    <w:rsid w:val="00BC1D96"/>
    <w:rsid w:val="00BC393D"/>
    <w:rsid w:val="00BC4EA0"/>
    <w:rsid w:val="00BE08F8"/>
    <w:rsid w:val="00BE269A"/>
    <w:rsid w:val="00BE2B33"/>
    <w:rsid w:val="00BE2C17"/>
    <w:rsid w:val="00BE2CA9"/>
    <w:rsid w:val="00C01991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8D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1C86"/>
    <w:rsid w:val="00D328C3"/>
    <w:rsid w:val="00D4037F"/>
    <w:rsid w:val="00D41F69"/>
    <w:rsid w:val="00D52659"/>
    <w:rsid w:val="00D5592F"/>
    <w:rsid w:val="00D61AE5"/>
    <w:rsid w:val="00D62353"/>
    <w:rsid w:val="00D66461"/>
    <w:rsid w:val="00D70EB0"/>
    <w:rsid w:val="00D742D7"/>
    <w:rsid w:val="00D75588"/>
    <w:rsid w:val="00D76E47"/>
    <w:rsid w:val="00D771AF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23402"/>
    <w:rsid w:val="00E23605"/>
    <w:rsid w:val="00E24950"/>
    <w:rsid w:val="00E251F8"/>
    <w:rsid w:val="00E3190E"/>
    <w:rsid w:val="00E32AB4"/>
    <w:rsid w:val="00E37ED7"/>
    <w:rsid w:val="00E422AD"/>
    <w:rsid w:val="00E43F0B"/>
    <w:rsid w:val="00E454C3"/>
    <w:rsid w:val="00E47628"/>
    <w:rsid w:val="00E56D24"/>
    <w:rsid w:val="00E57CDB"/>
    <w:rsid w:val="00E66619"/>
    <w:rsid w:val="00E76643"/>
    <w:rsid w:val="00E776B2"/>
    <w:rsid w:val="00E84C1A"/>
    <w:rsid w:val="00E85DCE"/>
    <w:rsid w:val="00E8624A"/>
    <w:rsid w:val="00E8748B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F0A39"/>
    <w:rsid w:val="00EF2541"/>
    <w:rsid w:val="00F0018B"/>
    <w:rsid w:val="00F03B74"/>
    <w:rsid w:val="00F0677F"/>
    <w:rsid w:val="00F06B38"/>
    <w:rsid w:val="00F07068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4A33"/>
    <w:rsid w:val="00FA4140"/>
    <w:rsid w:val="00FA4685"/>
    <w:rsid w:val="00FA7BEC"/>
    <w:rsid w:val="00FA7FEF"/>
    <w:rsid w:val="00FC0EB3"/>
    <w:rsid w:val="00FC1646"/>
    <w:rsid w:val="00FC2F76"/>
    <w:rsid w:val="00FC75F3"/>
    <w:rsid w:val="00FD45FD"/>
    <w:rsid w:val="00FD59DB"/>
    <w:rsid w:val="00FE183D"/>
    <w:rsid w:val="00FE1D0A"/>
    <w:rsid w:val="00FE20E6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i.edu/16pcs/Home.aspx" TargetMode="External"/><Relationship Id="rId13" Type="http://schemas.openxmlformats.org/officeDocument/2006/relationships/hyperlink" Target="https://www.icsi.edu/Docs/Website/National%20Seminar%20cspgcl%20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cometaxindia.gov.in/communications/circular/circular_12_2015.pdf" TargetMode="External"/><Relationship Id="rId12" Type="http://schemas.openxmlformats.org/officeDocument/2006/relationships/hyperlink" Target="https://www.icsi.edu/Docs/Website/NATIONAL_CON_flyer_EIRC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ncometaxindia.gov.in/communications/notification/notification58_2015.pdf" TargetMode="External"/><Relationship Id="rId11" Type="http://schemas.openxmlformats.org/officeDocument/2006/relationships/hyperlink" Target="https://www.icsi.edu/docs/Website/NS_thiruvanathpuram.pdf" TargetMode="External"/><Relationship Id="rId5" Type="http://schemas.openxmlformats.org/officeDocument/2006/relationships/hyperlink" Target="http://pib.nic.in/newsite/PrintRelease.aspx?relid=122964" TargetMode="External"/><Relationship Id="rId15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Docs/Website/Workshop17July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in/student/Members/DelegateRegistration/tabid/137/ctl/ViewEventDetails/mid/454/EventId/24/Default.aspx" TargetMode="External"/><Relationship Id="rId14" Type="http://schemas.openxmlformats.org/officeDocument/2006/relationships/hyperlink" Target="https://www.icsi.in/student/Members/DelegateRegistration/tabid/137/ctl/ViewEventDetails/mid/454/EventId/25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265</cp:revision>
  <dcterms:created xsi:type="dcterms:W3CDTF">2015-05-29T04:45:00Z</dcterms:created>
  <dcterms:modified xsi:type="dcterms:W3CDTF">2015-07-06T04:05:00Z</dcterms:modified>
</cp:coreProperties>
</file>