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E37ED7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2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5A72A9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5A72A9" w:rsidRPr="005A72A9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Coming together is a beginning; keeping together is progres</w:t>
      </w:r>
      <w:r w:rsidR="005A72A9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s; working together is success.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374676" w:rsidRPr="005A72A9" w:rsidRDefault="005A72A9" w:rsidP="005A72A9">
      <w:pPr>
        <w:pStyle w:val="ListParagraph"/>
        <w:numPr>
          <w:ilvl w:val="0"/>
          <w:numId w:val="8"/>
        </w:numPr>
        <w:spacing w:before="120"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5A72A9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Henry Ford</w:t>
      </w:r>
    </w:p>
    <w:p w:rsidR="00EB013E" w:rsidRPr="00DF3B13" w:rsidRDefault="000643FE" w:rsidP="00674CDC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156CE2" w:rsidRDefault="00E37ED7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 xml:space="preserve">RBI releases </w:t>
      </w:r>
      <w:r w:rsidR="00A1690B">
        <w:rPr>
          <w:rFonts w:ascii="SerifaBT-Roman" w:hAnsi="SerifaBT-Roman"/>
          <w:bCs/>
          <w:sz w:val="32"/>
          <w:szCs w:val="32"/>
        </w:rPr>
        <w:t xml:space="preserve">various </w:t>
      </w:r>
      <w:r>
        <w:rPr>
          <w:rFonts w:ascii="SerifaBT-Roman" w:hAnsi="SerifaBT-Roman"/>
          <w:bCs/>
          <w:sz w:val="32"/>
          <w:szCs w:val="32"/>
        </w:rPr>
        <w:t>Master circulars</w:t>
      </w:r>
      <w:r w:rsidR="00156CE2"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5" w:history="1">
        <w:r w:rsidR="00156CE2"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156CE2" w:rsidRDefault="00156CE2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</w:p>
    <w:p w:rsidR="00EB013E" w:rsidRDefault="00E47628" w:rsidP="00BE269A">
      <w:pPr>
        <w:spacing w:before="120" w:after="120"/>
        <w:jc w:val="both"/>
      </w:pPr>
      <w:r w:rsidRPr="00E47628">
        <w:rPr>
          <w:rFonts w:ascii="SerifaBT-Roman" w:hAnsi="SerifaBT-Roman"/>
          <w:bCs/>
          <w:sz w:val="32"/>
          <w:szCs w:val="32"/>
        </w:rPr>
        <w:t>The Income Tax Department has released the software for preparing the Income Tax Return forms 1- SAHAJ, 2, 2A and 4S- SUGAM</w:t>
      </w:r>
      <w:r w:rsidR="002D1793">
        <w:rPr>
          <w:rFonts w:ascii="SerifaBT-Roman" w:hAnsi="SerifaBT-Roman"/>
          <w:bCs/>
          <w:sz w:val="32"/>
          <w:szCs w:val="32"/>
        </w:rPr>
        <w:t xml:space="preserve"> </w:t>
      </w:r>
      <w:r w:rsidRPr="00E47628">
        <w:rPr>
          <w:rFonts w:ascii="SerifaBT-Roman" w:hAnsi="SerifaBT-Roman"/>
          <w:bCs/>
          <w:sz w:val="32"/>
          <w:szCs w:val="32"/>
        </w:rPr>
        <w:t>for AY 2015-16.</w:t>
      </w:r>
      <w:r w:rsidR="00BE269A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04343E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6" w:history="1"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B0C33" w:rsidRDefault="00DB0C33" w:rsidP="00BE269A">
      <w:pPr>
        <w:spacing w:before="120" w:after="120"/>
        <w:jc w:val="both"/>
      </w:pPr>
    </w:p>
    <w:p w:rsidR="00DB0C33" w:rsidRPr="00DB0C33" w:rsidRDefault="002D1793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>Dates for Compliance Window u</w:t>
      </w:r>
      <w:r w:rsidRPr="002D1793">
        <w:rPr>
          <w:rFonts w:ascii="SerifaBT-Roman" w:hAnsi="SerifaBT-Roman"/>
          <w:bCs/>
          <w:sz w:val="32"/>
          <w:szCs w:val="32"/>
        </w:rPr>
        <w:t>nder Black Money Act Notified</w:t>
      </w:r>
      <w:r>
        <w:rPr>
          <w:rFonts w:ascii="SerifaBT-Roman" w:hAnsi="SerifaBT-Roman"/>
          <w:bCs/>
          <w:sz w:val="32"/>
          <w:szCs w:val="32"/>
        </w:rPr>
        <w:t>:</w:t>
      </w:r>
      <w:r w:rsidRPr="002D1793">
        <w:rPr>
          <w:rFonts w:ascii="SerifaBT-Roman" w:hAnsi="SerifaBT-Roman"/>
          <w:bCs/>
          <w:sz w:val="32"/>
          <w:szCs w:val="32"/>
        </w:rPr>
        <w:t xml:space="preserve"> 30th September, 2015 is the date on or before which </w:t>
      </w:r>
      <w:r w:rsidR="00A1690B">
        <w:rPr>
          <w:rFonts w:ascii="SerifaBT-Roman" w:hAnsi="SerifaBT-Roman"/>
          <w:bCs/>
          <w:sz w:val="32"/>
          <w:szCs w:val="32"/>
        </w:rPr>
        <w:t>a</w:t>
      </w:r>
      <w:r w:rsidRPr="002D1793">
        <w:rPr>
          <w:rFonts w:ascii="SerifaBT-Roman" w:hAnsi="SerifaBT-Roman"/>
          <w:bCs/>
          <w:sz w:val="32"/>
          <w:szCs w:val="32"/>
        </w:rPr>
        <w:t xml:space="preserve"> Person may make a Declaration in respect of an Undisclos</w:t>
      </w:r>
      <w:r>
        <w:rPr>
          <w:rFonts w:ascii="SerifaBT-Roman" w:hAnsi="SerifaBT-Roman"/>
          <w:bCs/>
          <w:sz w:val="32"/>
          <w:szCs w:val="32"/>
        </w:rPr>
        <w:t xml:space="preserve">ed Asset </w:t>
      </w:r>
      <w:r w:rsidR="00A1690B">
        <w:rPr>
          <w:rFonts w:ascii="SerifaBT-Roman" w:hAnsi="SerifaBT-Roman"/>
          <w:bCs/>
          <w:sz w:val="32"/>
          <w:szCs w:val="32"/>
        </w:rPr>
        <w:t>l</w:t>
      </w:r>
      <w:r>
        <w:rPr>
          <w:rFonts w:ascii="SerifaBT-Roman" w:hAnsi="SerifaBT-Roman"/>
          <w:bCs/>
          <w:sz w:val="32"/>
          <w:szCs w:val="32"/>
        </w:rPr>
        <w:t>ocated outside India u</w:t>
      </w:r>
      <w:r w:rsidRPr="002D1793">
        <w:rPr>
          <w:rFonts w:ascii="SerifaBT-Roman" w:hAnsi="SerifaBT-Roman"/>
          <w:bCs/>
          <w:sz w:val="32"/>
          <w:szCs w:val="32"/>
        </w:rPr>
        <w:t>nder the Compliance Provisions of the Black Money (Undisclosed Foreign Income and Assets) and Imposition of Tax Act, 2015</w:t>
      </w:r>
      <w:r w:rsidR="00DB0C33"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7" w:history="1">
        <w:r w:rsidR="00DB0C33" w:rsidRPr="00DB0C3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B8046C" w:rsidRPr="00B8046C" w:rsidRDefault="00B8046C" w:rsidP="0014090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674CDC">
      <w:pPr>
        <w:spacing w:before="36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61AE5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F642D3" w:rsidRPr="00F642D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Judex</w:t>
      </w:r>
      <w:proofErr w:type="spellEnd"/>
      <w:r w:rsidR="00F642D3" w:rsidRPr="00F642D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non </w:t>
      </w:r>
      <w:proofErr w:type="spellStart"/>
      <w:r w:rsidR="00F642D3" w:rsidRPr="00F642D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reddit</w:t>
      </w:r>
      <w:proofErr w:type="spellEnd"/>
      <w:r w:rsidR="00F642D3" w:rsidRPr="00F642D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plus quam quod </w:t>
      </w:r>
      <w:proofErr w:type="spellStart"/>
      <w:r w:rsidR="00F642D3" w:rsidRPr="00F642D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petens</w:t>
      </w:r>
      <w:proofErr w:type="spellEnd"/>
      <w:r w:rsidR="00F642D3" w:rsidRPr="00F642D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ipse </w:t>
      </w:r>
      <w:proofErr w:type="spellStart"/>
      <w:r w:rsidR="00F642D3" w:rsidRPr="00F642D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requirit</w:t>
      </w:r>
      <w:proofErr w:type="spellEnd"/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D61AE5" w:rsidRDefault="00F642D3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32"/>
          <w:szCs w:val="32"/>
        </w:rPr>
      </w:pPr>
      <w:r w:rsidRPr="00F642D3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A judge does not give more than the plaintiff himself demands.</w:t>
      </w:r>
    </w:p>
    <w:p w:rsidR="00EC64F6" w:rsidRDefault="00EC64F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674CD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C41A1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80570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42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3472E" w:rsidTr="00DF3B13">
        <w:tc>
          <w:tcPr>
            <w:tcW w:w="28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63472E" w:rsidRDefault="00484A40" w:rsidP="00103D1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8005</w:t>
            </w:r>
            <w:r w:rsidR="00A01A5F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08</w:t>
            </w:r>
            <w:r w:rsidR="0030479B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15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79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63472E" w:rsidRDefault="00A01A5F" w:rsidP="00103D1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44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55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63472E" w:rsidRDefault="00484A40" w:rsidP="00103D1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E96E66"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13</w:t>
            </w:r>
            <w:r w:rsidR="00050D1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41EC9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58</w:t>
            </w:r>
            <w:r w:rsidR="006D5219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63472E" w:rsidRDefault="00484A40" w:rsidP="00103D1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475BA" w:rsidRPr="0063472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64</w:t>
            </w:r>
            <w:r w:rsidR="00AD61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80775B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03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C64F6" w:rsidRDefault="00EC64F6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A2D7C" w:rsidRDefault="00351682" w:rsidP="00413EF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8" w:history="1"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 xml:space="preserve">  </w:t>
      </w:r>
    </w:p>
    <w:p w:rsidR="005F61E0" w:rsidRPr="00EA2D7C" w:rsidRDefault="005F61E0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D31C86" w:rsidRDefault="00D31C86" w:rsidP="00EA2D7C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31C86">
        <w:rPr>
          <w:rFonts w:ascii="SerifaBT-Roman" w:hAnsi="SerifaBT-Roman"/>
          <w:sz w:val="32"/>
          <w:szCs w:val="32"/>
        </w:rPr>
        <w:t xml:space="preserve">National Seminar on Secretarial Audit and Secretarial Standards at </w:t>
      </w:r>
      <w:proofErr w:type="spellStart"/>
      <w:r w:rsidRPr="00D31C86">
        <w:rPr>
          <w:rFonts w:ascii="SerifaBT-Roman" w:hAnsi="SerifaBT-Roman"/>
          <w:sz w:val="32"/>
          <w:szCs w:val="32"/>
        </w:rPr>
        <w:t>Thiruvananthapuram</w:t>
      </w:r>
      <w:proofErr w:type="spellEnd"/>
      <w:r w:rsidRPr="00D31C86">
        <w:rPr>
          <w:rFonts w:ascii="SerifaBT-Roman" w:hAnsi="SerifaBT-Roman"/>
          <w:sz w:val="32"/>
          <w:szCs w:val="32"/>
        </w:rPr>
        <w:t xml:space="preserve"> on July 19 2015</w:t>
      </w:r>
      <w:r>
        <w:rPr>
          <w:rFonts w:ascii="SerifaBT-Roman" w:hAnsi="SerifaBT-Roman"/>
          <w:sz w:val="32"/>
          <w:szCs w:val="32"/>
        </w:rPr>
        <w:t>. For details</w:t>
      </w:r>
      <w:r w:rsidRPr="00D31C86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9" w:history="1"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9178D" w:rsidRDefault="00C9178D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0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5A35"/>
    <w:rsid w:val="000848BE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3D1A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E7983"/>
    <w:rsid w:val="001F06B1"/>
    <w:rsid w:val="0020118C"/>
    <w:rsid w:val="00207648"/>
    <w:rsid w:val="002104F1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1793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46ED"/>
    <w:rsid w:val="00335C9B"/>
    <w:rsid w:val="00342AB0"/>
    <w:rsid w:val="003475BA"/>
    <w:rsid w:val="00351682"/>
    <w:rsid w:val="00351EB8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3EFC"/>
    <w:rsid w:val="00416CF7"/>
    <w:rsid w:val="004204CA"/>
    <w:rsid w:val="00432104"/>
    <w:rsid w:val="00434461"/>
    <w:rsid w:val="00436B38"/>
    <w:rsid w:val="0044058B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A72A9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5F61E0"/>
    <w:rsid w:val="00601091"/>
    <w:rsid w:val="00610570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81E8C"/>
    <w:rsid w:val="00686D42"/>
    <w:rsid w:val="00687EAA"/>
    <w:rsid w:val="006A54FC"/>
    <w:rsid w:val="006D5219"/>
    <w:rsid w:val="006D7B4F"/>
    <w:rsid w:val="006F0D70"/>
    <w:rsid w:val="00706626"/>
    <w:rsid w:val="0070747E"/>
    <w:rsid w:val="00715499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181D"/>
    <w:rsid w:val="007E259D"/>
    <w:rsid w:val="007E45B6"/>
    <w:rsid w:val="007E57E8"/>
    <w:rsid w:val="007E7F2A"/>
    <w:rsid w:val="00805116"/>
    <w:rsid w:val="00805706"/>
    <w:rsid w:val="0080722A"/>
    <w:rsid w:val="0080775B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0859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57D35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3AE1"/>
    <w:rsid w:val="009B5164"/>
    <w:rsid w:val="009C41A1"/>
    <w:rsid w:val="009C4B7E"/>
    <w:rsid w:val="009D3B9E"/>
    <w:rsid w:val="009D50B1"/>
    <w:rsid w:val="009D5155"/>
    <w:rsid w:val="009D6A78"/>
    <w:rsid w:val="009E059C"/>
    <w:rsid w:val="009E75D1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1690B"/>
    <w:rsid w:val="00A258D5"/>
    <w:rsid w:val="00A313EC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4C09"/>
    <w:rsid w:val="00BC1D96"/>
    <w:rsid w:val="00BC393D"/>
    <w:rsid w:val="00BC4EA0"/>
    <w:rsid w:val="00BE08F8"/>
    <w:rsid w:val="00BE269A"/>
    <w:rsid w:val="00BE2B33"/>
    <w:rsid w:val="00BE2C17"/>
    <w:rsid w:val="00BE2CA9"/>
    <w:rsid w:val="00C01991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8D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1C86"/>
    <w:rsid w:val="00D328C3"/>
    <w:rsid w:val="00D4037F"/>
    <w:rsid w:val="00D41F69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37ED7"/>
    <w:rsid w:val="00E422AD"/>
    <w:rsid w:val="00E43F0B"/>
    <w:rsid w:val="00E454C3"/>
    <w:rsid w:val="00E47628"/>
    <w:rsid w:val="00E56D24"/>
    <w:rsid w:val="00E57CDB"/>
    <w:rsid w:val="00E66619"/>
    <w:rsid w:val="00E76643"/>
    <w:rsid w:val="00E776B2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77F"/>
    <w:rsid w:val="00F06B38"/>
    <w:rsid w:val="00F07068"/>
    <w:rsid w:val="00F21119"/>
    <w:rsid w:val="00F21AE0"/>
    <w:rsid w:val="00F22513"/>
    <w:rsid w:val="00F3232A"/>
    <w:rsid w:val="00F3453C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4A33"/>
    <w:rsid w:val="00FA4685"/>
    <w:rsid w:val="00FA7BEC"/>
    <w:rsid w:val="00FA7FEF"/>
    <w:rsid w:val="00FC0EB3"/>
    <w:rsid w:val="00FC1646"/>
    <w:rsid w:val="00FC2F76"/>
    <w:rsid w:val="00FC75F3"/>
    <w:rsid w:val="00FD45FD"/>
    <w:rsid w:val="00FD59DB"/>
    <w:rsid w:val="00FE183D"/>
    <w:rsid w:val="00FE1D0A"/>
    <w:rsid w:val="00FE20E6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i.edu/16pcs/Hom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b.nic.in/newsite/erelease.aspx?relid=1229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cometaxindia.gov.in/Lists/Press%20Releases/Attachments/370/Press-Release-release-of-ITRs-for-efiling-revised-01-07-201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bi.org.in/Scripts/NotificationUser.aspx" TargetMode="External"/><Relationship Id="rId10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NS_thiruvanathpur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241</cp:revision>
  <dcterms:created xsi:type="dcterms:W3CDTF">2015-05-29T04:45:00Z</dcterms:created>
  <dcterms:modified xsi:type="dcterms:W3CDTF">2015-07-02T04:17:00Z</dcterms:modified>
</cp:coreProperties>
</file>