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CC" w:rsidRPr="00BA45C3" w:rsidRDefault="00EF50A6" w:rsidP="00EB2E62">
      <w:pPr>
        <w:jc w:val="center"/>
        <w:rPr>
          <w:rFonts w:ascii="Bookman Old Style" w:hAnsi="Bookman Old Style"/>
          <w:b/>
          <w:bCs/>
          <w:iCs/>
          <w:color w:val="002060"/>
          <w:sz w:val="66"/>
          <w:szCs w:val="66"/>
          <w:lang w:val="en-US"/>
        </w:rPr>
      </w:pPr>
      <w:r w:rsidRPr="00BA45C3">
        <w:rPr>
          <w:rFonts w:ascii="Bookman Old Style" w:eastAsia="Calibri" w:hAnsi="Bookman Old Style" w:cs="Times New Roman"/>
          <w:b/>
          <w:bCs/>
          <w:iCs/>
          <w:color w:val="002060"/>
          <w:sz w:val="66"/>
          <w:szCs w:val="66"/>
          <w:lang w:val="en-US"/>
        </w:rPr>
        <w:t xml:space="preserve">CS UPDATE </w:t>
      </w:r>
      <w:r w:rsidR="009F32CE">
        <w:rPr>
          <w:rFonts w:ascii="Bookman Old Style" w:eastAsia="Calibri" w:hAnsi="Bookman Old Style" w:cs="Times New Roman"/>
          <w:b/>
          <w:bCs/>
          <w:iCs/>
          <w:color w:val="002060"/>
          <w:sz w:val="66"/>
          <w:szCs w:val="66"/>
          <w:lang w:val="en-US"/>
        </w:rPr>
        <w:t xml:space="preserve">APRIL </w:t>
      </w:r>
      <w:r w:rsidR="00034453">
        <w:rPr>
          <w:rFonts w:ascii="Bookman Old Style" w:eastAsia="Calibri" w:hAnsi="Bookman Old Style" w:cs="Times New Roman"/>
          <w:b/>
          <w:bCs/>
          <w:iCs/>
          <w:color w:val="002060"/>
          <w:sz w:val="66"/>
          <w:szCs w:val="66"/>
          <w:lang w:val="en-US"/>
        </w:rPr>
        <w:t>1</w:t>
      </w:r>
      <w:r w:rsidRPr="00BA45C3">
        <w:rPr>
          <w:rFonts w:ascii="Bookman Old Style" w:eastAsia="Calibri" w:hAnsi="Bookman Old Style" w:cs="Times New Roman"/>
          <w:b/>
          <w:bCs/>
          <w:iCs/>
          <w:color w:val="002060"/>
          <w:sz w:val="66"/>
          <w:szCs w:val="66"/>
          <w:lang w:val="en-US"/>
        </w:rPr>
        <w:t>, 201</w:t>
      </w:r>
      <w:r w:rsidRPr="00BA45C3">
        <w:rPr>
          <w:rFonts w:ascii="Bookman Old Style" w:hAnsi="Bookman Old Style"/>
          <w:b/>
          <w:bCs/>
          <w:iCs/>
          <w:color w:val="002060"/>
          <w:sz w:val="66"/>
          <w:szCs w:val="66"/>
          <w:lang w:val="en-US"/>
        </w:rPr>
        <w:t>5</w:t>
      </w:r>
    </w:p>
    <w:p w:rsidR="00140DFE" w:rsidRPr="00D757E5" w:rsidRDefault="00140DFE" w:rsidP="00E72AE4">
      <w:pPr>
        <w:spacing w:before="240" w:after="12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 xml:space="preserve">Quote of the Day </w:t>
      </w:r>
    </w:p>
    <w:p w:rsidR="005E6F72" w:rsidRPr="008F481D" w:rsidRDefault="00D37BD9" w:rsidP="00EF5202">
      <w:pPr>
        <w:spacing w:after="0"/>
        <w:jc w:val="both"/>
        <w:rPr>
          <w:rFonts w:ascii="Bookman Old Style" w:hAnsi="Bookman Old Style"/>
          <w:bCs/>
          <w:i/>
          <w:sz w:val="24"/>
          <w:szCs w:val="24"/>
          <w:lang w:val="en-US"/>
        </w:rPr>
      </w:pPr>
      <w:r w:rsidRPr="008F481D">
        <w:rPr>
          <w:rFonts w:ascii="Bookman Old Style" w:hAnsi="Bookman Old Style"/>
          <w:bCs/>
          <w:i/>
          <w:sz w:val="24"/>
          <w:szCs w:val="24"/>
          <w:lang w:val="en-US"/>
        </w:rPr>
        <w:t>“</w:t>
      </w:r>
      <w:r w:rsidR="002453E7" w:rsidRPr="002453E7">
        <w:rPr>
          <w:rFonts w:ascii="Bookman Old Style" w:hAnsi="Bookman Old Style"/>
          <w:bCs/>
          <w:i/>
          <w:sz w:val="24"/>
          <w:szCs w:val="24"/>
          <w:lang w:val="en-US"/>
        </w:rPr>
        <w:t>If your actions inspire others to dream more, learn more, do more and become more, you are a leader.</w:t>
      </w:r>
      <w:r w:rsidRPr="008F481D">
        <w:rPr>
          <w:rFonts w:ascii="Bookman Old Style" w:hAnsi="Bookman Old Style"/>
          <w:bCs/>
          <w:i/>
          <w:sz w:val="24"/>
          <w:szCs w:val="24"/>
          <w:lang w:val="en-US"/>
        </w:rPr>
        <w:t>”</w:t>
      </w:r>
    </w:p>
    <w:p w:rsidR="000B14CA" w:rsidRPr="000B14CA" w:rsidRDefault="002453E7" w:rsidP="000B14CA">
      <w:pPr>
        <w:pStyle w:val="ListParagraph"/>
        <w:numPr>
          <w:ilvl w:val="0"/>
          <w:numId w:val="10"/>
        </w:numPr>
        <w:spacing w:after="120"/>
        <w:jc w:val="right"/>
        <w:rPr>
          <w:rFonts w:ascii="Bookman Old Style" w:hAnsi="Bookman Old Style"/>
          <w:bCs/>
          <w:sz w:val="24"/>
          <w:szCs w:val="24"/>
          <w:lang w:val="en-US"/>
        </w:rPr>
      </w:pPr>
      <w:r w:rsidRPr="002453E7">
        <w:rPr>
          <w:rFonts w:ascii="Bookman Old Style" w:hAnsi="Bookman Old Style"/>
          <w:bCs/>
          <w:sz w:val="24"/>
          <w:szCs w:val="24"/>
          <w:lang w:val="en-US"/>
        </w:rPr>
        <w:t>John Quincy Adams</w:t>
      </w:r>
    </w:p>
    <w:p w:rsidR="00CD3930" w:rsidRPr="00D757E5" w:rsidRDefault="00CD3930" w:rsidP="005E6F72">
      <w:pPr>
        <w:spacing w:before="360" w:after="24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Regulatory Update</w:t>
      </w:r>
    </w:p>
    <w:p w:rsidR="008C4735" w:rsidRPr="00AD26D0" w:rsidRDefault="004B379B" w:rsidP="002F3819">
      <w:pPr>
        <w:spacing w:before="120" w:after="120"/>
        <w:rPr>
          <w:rFonts w:ascii="Bookman Old Style" w:hAnsi="Bookman Old Style"/>
          <w:b/>
          <w:bCs/>
          <w:i/>
          <w:sz w:val="26"/>
          <w:szCs w:val="26"/>
          <w:lang w:val="en-US"/>
        </w:rPr>
      </w:pPr>
      <w:r w:rsidRPr="00AD26D0">
        <w:rPr>
          <w:rFonts w:ascii="Bookman Old Style" w:hAnsi="Bookman Old Style"/>
          <w:b/>
          <w:bCs/>
          <w:i/>
          <w:sz w:val="26"/>
          <w:szCs w:val="26"/>
          <w:lang w:val="en-US"/>
        </w:rPr>
        <w:t>Cabinet Committee on Economic Affairs</w:t>
      </w:r>
    </w:p>
    <w:p w:rsidR="008C4735" w:rsidRPr="008536EB" w:rsidRDefault="004B379B" w:rsidP="007D77EC">
      <w:pPr>
        <w:spacing w:before="120" w:after="120"/>
        <w:jc w:val="both"/>
        <w:rPr>
          <w:rFonts w:ascii="Bookman Old Style" w:hAnsi="Bookman Old Style"/>
          <w:bCs/>
          <w:i/>
          <w:sz w:val="24"/>
          <w:szCs w:val="24"/>
          <w:lang w:val="en-US"/>
        </w:rPr>
      </w:pPr>
      <w:r w:rsidRPr="004B379B">
        <w:rPr>
          <w:rFonts w:ascii="Bookman Old Style" w:hAnsi="Bookman Old Style"/>
          <w:bCs/>
          <w:i/>
          <w:sz w:val="24"/>
          <w:szCs w:val="24"/>
          <w:lang w:val="en-US"/>
        </w:rPr>
        <w:t xml:space="preserve">The Cabinet Committee on Economic Affairs, chaired by the </w:t>
      </w:r>
      <w:r w:rsidR="00EC68D7">
        <w:rPr>
          <w:rFonts w:ascii="Bookman Old Style" w:hAnsi="Bookman Old Style"/>
          <w:bCs/>
          <w:i/>
          <w:sz w:val="24"/>
          <w:szCs w:val="24"/>
          <w:lang w:val="en-US"/>
        </w:rPr>
        <w:t xml:space="preserve"> </w:t>
      </w:r>
      <w:r w:rsidRPr="004B379B">
        <w:rPr>
          <w:rFonts w:ascii="Bookman Old Style" w:hAnsi="Bookman Old Style"/>
          <w:bCs/>
          <w:i/>
          <w:sz w:val="24"/>
          <w:szCs w:val="24"/>
          <w:lang w:val="en-US"/>
        </w:rPr>
        <w:t xml:space="preserve">Prime Minister Shri </w:t>
      </w:r>
      <w:proofErr w:type="spellStart"/>
      <w:r w:rsidRPr="004B379B">
        <w:rPr>
          <w:rFonts w:ascii="Bookman Old Style" w:hAnsi="Bookman Old Style"/>
          <w:bCs/>
          <w:i/>
          <w:sz w:val="24"/>
          <w:szCs w:val="24"/>
          <w:lang w:val="en-US"/>
        </w:rPr>
        <w:t>Narendra</w:t>
      </w:r>
      <w:proofErr w:type="spellEnd"/>
      <w:r w:rsidRPr="004B379B">
        <w:rPr>
          <w:rFonts w:ascii="Bookman Old Style" w:hAnsi="Bookman Old Style"/>
          <w:bCs/>
          <w:i/>
          <w:sz w:val="24"/>
          <w:szCs w:val="24"/>
          <w:lang w:val="en-US"/>
        </w:rPr>
        <w:t xml:space="preserve"> </w:t>
      </w:r>
      <w:proofErr w:type="spellStart"/>
      <w:r w:rsidRPr="004B379B">
        <w:rPr>
          <w:rFonts w:ascii="Bookman Old Style" w:hAnsi="Bookman Old Style"/>
          <w:bCs/>
          <w:i/>
          <w:sz w:val="24"/>
          <w:szCs w:val="24"/>
          <w:lang w:val="en-US"/>
        </w:rPr>
        <w:t>Modi</w:t>
      </w:r>
      <w:proofErr w:type="spellEnd"/>
      <w:r w:rsidRPr="004B379B">
        <w:rPr>
          <w:rFonts w:ascii="Bookman Old Style" w:hAnsi="Bookman Old Style"/>
          <w:bCs/>
          <w:i/>
          <w:sz w:val="24"/>
          <w:szCs w:val="24"/>
          <w:lang w:val="en-US"/>
        </w:rPr>
        <w:t>, has approved the change in the definition of a ‘Private Sector Company’ in the guidelines for financial support to Public Private Partnerships in Infrastructure under the Viability Gap Funding Scheme (VGF Scheme). This has been done to remove any ambiguity in interpretation of the term ‘Private Sector Company’ and to align it with the definition of ‘Government Company’ at Section 2 (45) of the Companies Act, 2013.</w:t>
      </w:r>
      <w:r w:rsidR="008536EB">
        <w:rPr>
          <w:rFonts w:ascii="Bookman Old Style" w:hAnsi="Bookman Old Style"/>
          <w:bCs/>
          <w:i/>
          <w:sz w:val="24"/>
          <w:szCs w:val="24"/>
          <w:lang w:val="en-US"/>
        </w:rPr>
        <w:t xml:space="preserve"> For details </w:t>
      </w:r>
      <w:hyperlink r:id="rId5" w:history="1">
        <w:r w:rsidR="008536EB" w:rsidRPr="008536EB">
          <w:rPr>
            <w:rStyle w:val="Hyperlink"/>
            <w:rFonts w:ascii="Bookman Old Style" w:hAnsi="Bookman Old Style"/>
            <w:bCs/>
            <w:i/>
            <w:color w:val="FF0000"/>
            <w:sz w:val="24"/>
            <w:szCs w:val="24"/>
            <w:lang w:val="en-US"/>
          </w:rPr>
          <w:t>click here</w:t>
        </w:r>
      </w:hyperlink>
    </w:p>
    <w:p w:rsidR="008C4735" w:rsidRDefault="008C4735" w:rsidP="002F3819">
      <w:pPr>
        <w:spacing w:before="120" w:after="120"/>
        <w:rPr>
          <w:rFonts w:ascii="Bookman Old Style" w:hAnsi="Bookman Old Style"/>
          <w:b/>
          <w:bCs/>
          <w:i/>
          <w:sz w:val="24"/>
          <w:szCs w:val="24"/>
          <w:lang w:val="en-US"/>
        </w:rPr>
      </w:pPr>
    </w:p>
    <w:p w:rsidR="008536EB" w:rsidRPr="00AD26D0" w:rsidRDefault="004E2F76" w:rsidP="002F3819">
      <w:pPr>
        <w:spacing w:before="120" w:after="120"/>
        <w:rPr>
          <w:rFonts w:ascii="Bookman Old Style" w:hAnsi="Bookman Old Style"/>
          <w:b/>
          <w:bCs/>
          <w:i/>
          <w:sz w:val="26"/>
          <w:szCs w:val="26"/>
          <w:lang w:val="en-US"/>
        </w:rPr>
      </w:pPr>
      <w:r w:rsidRPr="00AD26D0">
        <w:rPr>
          <w:rFonts w:ascii="Bookman Old Style" w:hAnsi="Bookman Old Style"/>
          <w:b/>
          <w:bCs/>
          <w:i/>
          <w:sz w:val="26"/>
          <w:szCs w:val="26"/>
          <w:lang w:val="en-US"/>
        </w:rPr>
        <w:t xml:space="preserve">Insurance Regulatory and Development Authority of India </w:t>
      </w:r>
      <w:r w:rsidR="00AD26D0" w:rsidRPr="00AD26D0">
        <w:rPr>
          <w:rFonts w:ascii="Bookman Old Style" w:hAnsi="Bookman Old Style"/>
          <w:b/>
          <w:bCs/>
          <w:i/>
          <w:sz w:val="26"/>
          <w:szCs w:val="26"/>
          <w:lang w:val="en-US"/>
        </w:rPr>
        <w:t>(IRDAI)</w:t>
      </w:r>
    </w:p>
    <w:p w:rsidR="004E2F76" w:rsidRPr="004E2F76" w:rsidRDefault="004E2F76" w:rsidP="009D1EDE">
      <w:pPr>
        <w:spacing w:before="120" w:after="120"/>
        <w:jc w:val="both"/>
        <w:rPr>
          <w:rFonts w:ascii="Bookman Old Style" w:hAnsi="Bookman Old Style"/>
          <w:b/>
          <w:bCs/>
          <w:i/>
          <w:sz w:val="24"/>
          <w:szCs w:val="24"/>
          <w:lang w:val="en-US"/>
        </w:rPr>
      </w:pPr>
      <w:r w:rsidRPr="004E2F76">
        <w:rPr>
          <w:rFonts w:ascii="Bookman Old Style" w:hAnsi="Bookman Old Style"/>
          <w:b/>
          <w:bCs/>
          <w:i/>
          <w:sz w:val="24"/>
          <w:szCs w:val="24"/>
          <w:lang w:val="en-US"/>
        </w:rPr>
        <w:t>IRDAI (Registration of Corporate Agent) Regulations, 2015</w:t>
      </w:r>
    </w:p>
    <w:p w:rsidR="008536EB" w:rsidRDefault="004E2F76" w:rsidP="009D1EDE">
      <w:pPr>
        <w:spacing w:before="120" w:after="120"/>
        <w:jc w:val="both"/>
      </w:pPr>
      <w:r w:rsidRPr="004E2F76">
        <w:rPr>
          <w:rFonts w:ascii="Bookman Old Style" w:hAnsi="Bookman Old Style"/>
          <w:bCs/>
          <w:i/>
          <w:sz w:val="24"/>
          <w:szCs w:val="24"/>
          <w:lang w:val="en-US"/>
        </w:rPr>
        <w:t>Consequent upon promulgation of Insurance Laws (Amendment) Ordinance, 2014 and passing of the Insurance Laws</w:t>
      </w:r>
      <w:r w:rsidR="00EF7820">
        <w:rPr>
          <w:rFonts w:ascii="Bookman Old Style" w:hAnsi="Bookman Old Style"/>
          <w:bCs/>
          <w:i/>
          <w:sz w:val="24"/>
          <w:szCs w:val="24"/>
          <w:lang w:val="en-US"/>
        </w:rPr>
        <w:t xml:space="preserve"> </w:t>
      </w:r>
      <w:r w:rsidRPr="004E2F76">
        <w:rPr>
          <w:rFonts w:ascii="Bookman Old Style" w:hAnsi="Bookman Old Style"/>
          <w:bCs/>
          <w:i/>
          <w:sz w:val="24"/>
          <w:szCs w:val="24"/>
          <w:lang w:val="en-US"/>
        </w:rPr>
        <w:t>(Amendment) Bill, 2014 by the Parliament, corporate agents have been defined as intermediary and insurance intermediary under section 2(1</w:t>
      </w:r>
      <w:proofErr w:type="gramStart"/>
      <w:r w:rsidRPr="004E2F76">
        <w:rPr>
          <w:rFonts w:ascii="Bookman Old Style" w:hAnsi="Bookman Old Style"/>
          <w:bCs/>
          <w:i/>
          <w:sz w:val="24"/>
          <w:szCs w:val="24"/>
          <w:lang w:val="en-US"/>
        </w:rPr>
        <w:t>)(</w:t>
      </w:r>
      <w:proofErr w:type="gramEnd"/>
      <w:r w:rsidRPr="004E2F76">
        <w:rPr>
          <w:rFonts w:ascii="Bookman Old Style" w:hAnsi="Bookman Old Style"/>
          <w:bCs/>
          <w:i/>
          <w:sz w:val="24"/>
          <w:szCs w:val="24"/>
          <w:lang w:val="en-US"/>
        </w:rPr>
        <w:t>f) of the IRDA Act, 1999. This necessitated the Authority to draft a new set of regulations for registration of corporate agents as an insurance intermediary. These regulations, after notification in the official gazette, will replace the erstwhile IRDA</w:t>
      </w:r>
      <w:r w:rsidR="00EF7820">
        <w:rPr>
          <w:rFonts w:ascii="Bookman Old Style" w:hAnsi="Bookman Old Style"/>
          <w:bCs/>
          <w:i/>
          <w:sz w:val="24"/>
          <w:szCs w:val="24"/>
          <w:lang w:val="en-US"/>
        </w:rPr>
        <w:t xml:space="preserve"> </w:t>
      </w:r>
      <w:r w:rsidRPr="004E2F76">
        <w:rPr>
          <w:rFonts w:ascii="Bookman Old Style" w:hAnsi="Bookman Old Style"/>
          <w:bCs/>
          <w:i/>
          <w:sz w:val="24"/>
          <w:szCs w:val="24"/>
          <w:lang w:val="en-US"/>
        </w:rPr>
        <w:t xml:space="preserve">(Licensing of Corporate Agents) Regulations, 2002. </w:t>
      </w:r>
      <w:r w:rsidR="008536EB">
        <w:rPr>
          <w:rFonts w:ascii="Bookman Old Style" w:hAnsi="Bookman Old Style"/>
          <w:bCs/>
          <w:i/>
          <w:sz w:val="24"/>
          <w:szCs w:val="24"/>
          <w:lang w:val="en-US"/>
        </w:rPr>
        <w:t xml:space="preserve">For details </w:t>
      </w:r>
      <w:hyperlink r:id="rId6" w:history="1">
        <w:r w:rsidR="008536EB" w:rsidRPr="008536EB">
          <w:rPr>
            <w:rStyle w:val="Hyperlink"/>
            <w:rFonts w:ascii="Bookman Old Style" w:hAnsi="Bookman Old Style"/>
            <w:bCs/>
            <w:i/>
            <w:color w:val="FF0000"/>
            <w:sz w:val="24"/>
            <w:szCs w:val="24"/>
            <w:lang w:val="en-US"/>
          </w:rPr>
          <w:t>click here</w:t>
        </w:r>
      </w:hyperlink>
    </w:p>
    <w:p w:rsidR="00EF7820" w:rsidRDefault="00EF7820" w:rsidP="00AD26D0">
      <w:pPr>
        <w:spacing w:before="120" w:after="0"/>
        <w:jc w:val="both"/>
      </w:pPr>
    </w:p>
    <w:p w:rsidR="00EF7820" w:rsidRPr="00EF7820" w:rsidRDefault="00EF7820" w:rsidP="009D1EDE">
      <w:pPr>
        <w:spacing w:before="120" w:after="120"/>
        <w:jc w:val="both"/>
        <w:rPr>
          <w:rFonts w:ascii="Bookman Old Style" w:hAnsi="Bookman Old Style"/>
          <w:b/>
          <w:bCs/>
          <w:i/>
          <w:sz w:val="24"/>
          <w:szCs w:val="24"/>
          <w:lang w:val="en-US"/>
        </w:rPr>
      </w:pPr>
      <w:r w:rsidRPr="00EF7820">
        <w:rPr>
          <w:rFonts w:ascii="Bookman Old Style" w:hAnsi="Bookman Old Style"/>
          <w:b/>
          <w:bCs/>
          <w:i/>
          <w:sz w:val="24"/>
          <w:szCs w:val="24"/>
          <w:lang w:val="en-US"/>
        </w:rPr>
        <w:t>IRDAI on Premium Rates for Motor Third Party Liability Insurance Covers for the Year 2015-16</w:t>
      </w:r>
      <w:r>
        <w:rPr>
          <w:rFonts w:ascii="Bookman Old Style" w:hAnsi="Bookman Old Style"/>
          <w:b/>
          <w:bCs/>
          <w:i/>
          <w:sz w:val="24"/>
          <w:szCs w:val="24"/>
          <w:lang w:val="en-US"/>
        </w:rPr>
        <w:t xml:space="preserve">. </w:t>
      </w:r>
      <w:r w:rsidRPr="00EF7820">
        <w:rPr>
          <w:rFonts w:ascii="Bookman Old Style" w:hAnsi="Bookman Old Style"/>
          <w:bCs/>
          <w:i/>
          <w:sz w:val="24"/>
          <w:szCs w:val="24"/>
          <w:lang w:val="en-US"/>
        </w:rPr>
        <w:t xml:space="preserve">For details </w:t>
      </w:r>
      <w:hyperlink r:id="rId7" w:history="1">
        <w:r w:rsidRPr="00FA05D2">
          <w:rPr>
            <w:rStyle w:val="Hyperlink"/>
            <w:rFonts w:ascii="Bookman Old Style" w:hAnsi="Bookman Old Style"/>
            <w:bCs/>
            <w:i/>
            <w:color w:val="FF0000"/>
            <w:sz w:val="24"/>
            <w:szCs w:val="24"/>
            <w:lang w:val="en-US"/>
          </w:rPr>
          <w:t>click here</w:t>
        </w:r>
      </w:hyperlink>
    </w:p>
    <w:p w:rsidR="008536EB" w:rsidRDefault="008536EB" w:rsidP="00AD26D0">
      <w:pPr>
        <w:spacing w:before="120" w:after="0"/>
        <w:rPr>
          <w:rFonts w:ascii="Bookman Old Style" w:hAnsi="Bookman Old Style"/>
          <w:b/>
          <w:bCs/>
          <w:i/>
          <w:sz w:val="24"/>
          <w:szCs w:val="24"/>
          <w:lang w:val="en-US"/>
        </w:rPr>
      </w:pPr>
    </w:p>
    <w:p w:rsidR="00FA3E63" w:rsidRDefault="00FA05D2" w:rsidP="00FA3E63">
      <w:pPr>
        <w:spacing w:after="120"/>
        <w:jc w:val="both"/>
        <w:rPr>
          <w:rFonts w:ascii="Bookman Old Style" w:hAnsi="Bookman Old Style"/>
          <w:b/>
          <w:bCs/>
          <w:i/>
          <w:sz w:val="24"/>
          <w:szCs w:val="24"/>
          <w:lang w:val="en-US"/>
        </w:rPr>
      </w:pPr>
      <w:r w:rsidRPr="00FA05D2">
        <w:rPr>
          <w:rFonts w:ascii="Bookman Old Style" w:hAnsi="Bookman Old Style"/>
          <w:b/>
          <w:bCs/>
          <w:i/>
          <w:sz w:val="24"/>
          <w:szCs w:val="24"/>
          <w:lang w:val="en-US"/>
        </w:rPr>
        <w:t>Guidelines on the Fee for granting written acknowledgement of the receipt of Notice of Assignment or Transfer of a policy of Insurance</w:t>
      </w:r>
    </w:p>
    <w:p w:rsidR="00FA05D2" w:rsidRDefault="00FA05D2" w:rsidP="00FA3E63">
      <w:pPr>
        <w:spacing w:after="120"/>
        <w:jc w:val="both"/>
        <w:rPr>
          <w:rFonts w:ascii="Bookman Old Style" w:hAnsi="Bookman Old Style"/>
          <w:bCs/>
          <w:i/>
          <w:sz w:val="24"/>
          <w:szCs w:val="24"/>
          <w:lang w:val="en-US"/>
        </w:rPr>
      </w:pPr>
      <w:proofErr w:type="gramStart"/>
      <w:r w:rsidRPr="00FA05D2">
        <w:rPr>
          <w:rFonts w:ascii="Bookman Old Style" w:hAnsi="Bookman Old Style"/>
          <w:bCs/>
          <w:i/>
          <w:sz w:val="24"/>
          <w:szCs w:val="24"/>
          <w:lang w:val="en-US"/>
        </w:rPr>
        <w:t>Section 38(7) of the Insurance Act mandates that every insurer shall grant a written acknowledgement of the receipt of Notice of Assignment or Transfer on payment of such fee as specified by the Regulations.</w:t>
      </w:r>
      <w:proofErr w:type="gramEnd"/>
      <w:r w:rsidRPr="00FA05D2">
        <w:rPr>
          <w:rFonts w:ascii="Bookman Old Style" w:hAnsi="Bookman Old Style"/>
          <w:bCs/>
          <w:i/>
          <w:sz w:val="24"/>
          <w:szCs w:val="24"/>
          <w:lang w:val="en-US"/>
        </w:rPr>
        <w:t xml:space="preserve"> The provisions of Section 38(7) of the Insurance Act also envisage that every insurer shall record the fact of the transfer or assignment together with the date thereof and the name of the transferee or the assignee. Therefore, pending notification of the Regulations, the Authority issues the guidelines specifying the fee for granting a written acknowledgement as envisaged in these provisions.</w:t>
      </w:r>
      <w:r>
        <w:rPr>
          <w:rFonts w:ascii="Bookman Old Style" w:hAnsi="Bookman Old Style"/>
          <w:bCs/>
          <w:i/>
          <w:sz w:val="24"/>
          <w:szCs w:val="24"/>
          <w:lang w:val="en-US"/>
        </w:rPr>
        <w:t xml:space="preserve"> For details </w:t>
      </w:r>
      <w:hyperlink r:id="rId8" w:history="1">
        <w:r w:rsidRPr="00FA05D2">
          <w:rPr>
            <w:rStyle w:val="Hyperlink"/>
            <w:rFonts w:ascii="Bookman Old Style" w:hAnsi="Bookman Old Style"/>
            <w:bCs/>
            <w:i/>
            <w:color w:val="FF0000"/>
            <w:sz w:val="24"/>
            <w:szCs w:val="24"/>
            <w:lang w:val="en-US"/>
          </w:rPr>
          <w:t>click here</w:t>
        </w:r>
      </w:hyperlink>
    </w:p>
    <w:p w:rsidR="00FA05D2" w:rsidRDefault="00FA05D2" w:rsidP="00FA3E63">
      <w:pPr>
        <w:spacing w:after="120"/>
        <w:jc w:val="both"/>
        <w:rPr>
          <w:rFonts w:ascii="Bookman Old Style" w:hAnsi="Bookman Old Style"/>
          <w:bCs/>
          <w:i/>
          <w:sz w:val="24"/>
          <w:szCs w:val="24"/>
          <w:lang w:val="en-US"/>
        </w:rPr>
      </w:pPr>
    </w:p>
    <w:p w:rsidR="00FA05D2" w:rsidRDefault="00FA05D2" w:rsidP="00FA3E63">
      <w:pPr>
        <w:spacing w:after="120"/>
        <w:jc w:val="both"/>
        <w:rPr>
          <w:rFonts w:ascii="Bookman Old Style" w:hAnsi="Bookman Old Style"/>
          <w:b/>
          <w:bCs/>
          <w:i/>
          <w:sz w:val="24"/>
          <w:szCs w:val="24"/>
          <w:lang w:val="en-US"/>
        </w:rPr>
      </w:pPr>
      <w:r w:rsidRPr="00FA05D2">
        <w:rPr>
          <w:rFonts w:ascii="Bookman Old Style" w:hAnsi="Bookman Old Style"/>
          <w:b/>
          <w:bCs/>
          <w:i/>
          <w:sz w:val="24"/>
          <w:szCs w:val="24"/>
          <w:lang w:val="en-US"/>
        </w:rPr>
        <w:t>Guidelines for charging the fee from the holder of a policy of life insurance for Registering Cancellation or Change of Nomination</w:t>
      </w:r>
    </w:p>
    <w:p w:rsidR="00FA05D2" w:rsidRPr="00FA05D2" w:rsidRDefault="00FA05D2" w:rsidP="00FA3E63">
      <w:pPr>
        <w:spacing w:after="120"/>
        <w:jc w:val="both"/>
        <w:rPr>
          <w:rFonts w:ascii="Bookman Old Style" w:hAnsi="Bookman Old Style"/>
          <w:bCs/>
          <w:i/>
          <w:sz w:val="24"/>
          <w:szCs w:val="24"/>
          <w:lang w:val="en-US"/>
        </w:rPr>
      </w:pPr>
      <w:r w:rsidRPr="00FA05D2">
        <w:rPr>
          <w:rFonts w:ascii="Bookman Old Style" w:hAnsi="Bookman Old Style"/>
          <w:bCs/>
          <w:i/>
          <w:sz w:val="24"/>
          <w:szCs w:val="24"/>
          <w:lang w:val="en-US"/>
        </w:rPr>
        <w:t>Section 39(1) of the Insurance Act allows that the holder of a policy of life insurance on his own life may, when effecting the policy or at any time before the policy matures for payment, nominate the person or persons to whom the money secured by the policy shall be paid in the event of his death. Section 39(2) allows such nomination may at any time before the policy matures for payment be cancelled or changed by an endorsement as prescribed therein. Section 39(3) mandates that every life insurer shall furnish a written acknowledgement of having registered a nomination or a cancellation or change thereof and may charge such fee as may be specified by Regulations for registering such cancellation or change. Therefore, pending notification of the Regulations, the</w:t>
      </w:r>
      <w:r w:rsidR="004C41EA">
        <w:rPr>
          <w:rFonts w:ascii="Bookman Old Style" w:hAnsi="Bookman Old Style"/>
          <w:bCs/>
          <w:i/>
          <w:sz w:val="24"/>
          <w:szCs w:val="24"/>
          <w:lang w:val="en-US"/>
        </w:rPr>
        <w:t>se</w:t>
      </w:r>
      <w:r w:rsidRPr="00FA05D2">
        <w:rPr>
          <w:rFonts w:ascii="Bookman Old Style" w:hAnsi="Bookman Old Style"/>
          <w:bCs/>
          <w:i/>
          <w:sz w:val="24"/>
          <w:szCs w:val="24"/>
          <w:lang w:val="en-US"/>
        </w:rPr>
        <w:t xml:space="preserve"> guidelines are issued.</w:t>
      </w:r>
      <w:r>
        <w:rPr>
          <w:rFonts w:ascii="Bookman Old Style" w:hAnsi="Bookman Old Style"/>
          <w:bCs/>
          <w:i/>
          <w:sz w:val="24"/>
          <w:szCs w:val="24"/>
          <w:lang w:val="en-US"/>
        </w:rPr>
        <w:t xml:space="preserve"> For details </w:t>
      </w:r>
      <w:hyperlink r:id="rId9" w:history="1">
        <w:r w:rsidRPr="00FA05D2">
          <w:rPr>
            <w:rStyle w:val="Hyperlink"/>
            <w:rFonts w:ascii="Bookman Old Style" w:hAnsi="Bookman Old Style"/>
            <w:bCs/>
            <w:i/>
            <w:color w:val="FF0000"/>
            <w:sz w:val="24"/>
            <w:szCs w:val="24"/>
            <w:lang w:val="en-US"/>
          </w:rPr>
          <w:t>click here</w:t>
        </w:r>
      </w:hyperlink>
    </w:p>
    <w:p w:rsidR="00FA05D2" w:rsidRPr="00FA05D2" w:rsidRDefault="00FA05D2" w:rsidP="00396B60">
      <w:pPr>
        <w:spacing w:before="240" w:after="120"/>
        <w:jc w:val="both"/>
        <w:rPr>
          <w:rFonts w:ascii="Bookman Old Style" w:hAnsi="Bookman Old Style"/>
          <w:b/>
          <w:bCs/>
          <w:i/>
          <w:sz w:val="24"/>
          <w:szCs w:val="24"/>
          <w:lang w:val="en-US"/>
        </w:rPr>
      </w:pPr>
    </w:p>
    <w:p w:rsidR="00FA3E63" w:rsidRPr="00AD26D0" w:rsidRDefault="00FA3E63" w:rsidP="00FA3E63">
      <w:pPr>
        <w:spacing w:after="120"/>
        <w:jc w:val="both"/>
        <w:rPr>
          <w:rFonts w:ascii="Bookman Old Style" w:hAnsi="Bookman Old Style"/>
          <w:b/>
          <w:bCs/>
          <w:i/>
          <w:sz w:val="26"/>
          <w:szCs w:val="26"/>
          <w:lang w:val="en-US"/>
        </w:rPr>
      </w:pPr>
      <w:r w:rsidRPr="00AD26D0">
        <w:rPr>
          <w:rFonts w:ascii="Bookman Old Style" w:hAnsi="Bookman Old Style"/>
          <w:b/>
          <w:bCs/>
          <w:i/>
          <w:sz w:val="26"/>
          <w:szCs w:val="26"/>
          <w:lang w:val="en-US"/>
        </w:rPr>
        <w:t>Central Board of Direct Taxes (CBDT)</w:t>
      </w:r>
    </w:p>
    <w:p w:rsidR="0002146A" w:rsidRDefault="00FA3E63" w:rsidP="00FA3E63">
      <w:pPr>
        <w:spacing w:after="120"/>
        <w:jc w:val="both"/>
        <w:rPr>
          <w:rFonts w:ascii="Bookman Old Style" w:hAnsi="Bookman Old Style"/>
          <w:bCs/>
          <w:i/>
          <w:sz w:val="24"/>
          <w:szCs w:val="24"/>
          <w:lang w:val="en-US"/>
        </w:rPr>
      </w:pPr>
      <w:r w:rsidRPr="0002146A">
        <w:rPr>
          <w:rFonts w:ascii="Bookman Old Style" w:hAnsi="Bookman Old Style"/>
          <w:b/>
          <w:bCs/>
          <w:i/>
          <w:sz w:val="24"/>
          <w:szCs w:val="24"/>
          <w:lang w:val="en-US"/>
        </w:rPr>
        <w:t xml:space="preserve">CBDT has decided to amend the </w:t>
      </w:r>
      <w:r w:rsidR="0002146A" w:rsidRPr="0002146A">
        <w:rPr>
          <w:rFonts w:ascii="Bookman Old Style" w:hAnsi="Bookman Old Style"/>
          <w:b/>
          <w:bCs/>
          <w:i/>
          <w:sz w:val="24"/>
          <w:szCs w:val="24"/>
          <w:lang w:val="en-US"/>
        </w:rPr>
        <w:t>Rule relating to Roll Back of an Advance Pricing Agreement (APA)</w:t>
      </w:r>
      <w:r w:rsidR="0002146A">
        <w:rPr>
          <w:rFonts w:ascii="Bookman Old Style" w:hAnsi="Bookman Old Style"/>
          <w:bCs/>
          <w:i/>
          <w:sz w:val="24"/>
          <w:szCs w:val="24"/>
          <w:lang w:val="en-US"/>
        </w:rPr>
        <w:t xml:space="preserve"> </w:t>
      </w:r>
    </w:p>
    <w:p w:rsidR="00FA3E63" w:rsidRPr="00FA3E63" w:rsidRDefault="0002146A" w:rsidP="00FA3E63">
      <w:pPr>
        <w:spacing w:after="120"/>
        <w:jc w:val="both"/>
        <w:rPr>
          <w:rFonts w:ascii="Bookman Old Style" w:hAnsi="Bookman Old Style"/>
          <w:bCs/>
          <w:i/>
          <w:sz w:val="24"/>
          <w:szCs w:val="24"/>
          <w:lang w:val="en-US"/>
        </w:rPr>
      </w:pPr>
      <w:r>
        <w:rPr>
          <w:rFonts w:ascii="Bookman Old Style" w:hAnsi="Bookman Old Style"/>
          <w:bCs/>
          <w:i/>
          <w:sz w:val="24"/>
          <w:szCs w:val="24"/>
          <w:lang w:val="en-US"/>
        </w:rPr>
        <w:t>I</w:t>
      </w:r>
      <w:r w:rsidR="00FA3E63" w:rsidRPr="00FA3E63">
        <w:rPr>
          <w:rFonts w:ascii="Bookman Old Style" w:hAnsi="Bookman Old Style"/>
          <w:bCs/>
          <w:i/>
          <w:sz w:val="24"/>
          <w:szCs w:val="24"/>
          <w:lang w:val="en-US"/>
        </w:rPr>
        <w:t>n a case where an application has been filed prior to the 31st day of March, 2015, application for roll back in Form No. 3CEDA along with proof of payment of additional fee may be filed at any time on or before the 30th day of June, 2015 or the date of entering into the agreement whichever is earlier. Similarly, in a case where an agreement has been entered into before the 31st day of March, 2015, application for roll back in Form No. 3CEDA along with proof of payment of additional fee may be filed at any time on or before the 30th day of June, 2015.</w:t>
      </w:r>
      <w:r>
        <w:rPr>
          <w:rFonts w:ascii="Bookman Old Style" w:hAnsi="Bookman Old Style"/>
          <w:bCs/>
          <w:i/>
          <w:sz w:val="24"/>
          <w:szCs w:val="24"/>
          <w:lang w:val="en-US"/>
        </w:rPr>
        <w:t xml:space="preserve"> For details </w:t>
      </w:r>
      <w:hyperlink r:id="rId10" w:history="1">
        <w:r w:rsidRPr="0002146A">
          <w:rPr>
            <w:rStyle w:val="Hyperlink"/>
            <w:rFonts w:ascii="Bookman Old Style" w:hAnsi="Bookman Old Style"/>
            <w:bCs/>
            <w:i/>
            <w:color w:val="FF0000"/>
            <w:sz w:val="24"/>
            <w:szCs w:val="24"/>
            <w:lang w:val="en-US"/>
          </w:rPr>
          <w:t>click here</w:t>
        </w:r>
      </w:hyperlink>
    </w:p>
    <w:p w:rsidR="000844AE" w:rsidRPr="00AD26D0" w:rsidRDefault="000844AE" w:rsidP="00AD26D0">
      <w:pPr>
        <w:spacing w:before="600" w:after="120"/>
        <w:jc w:val="both"/>
        <w:rPr>
          <w:rFonts w:ascii="Bookman Old Style" w:hAnsi="Bookman Old Style"/>
          <w:bCs/>
          <w:i/>
          <w:sz w:val="26"/>
          <w:szCs w:val="26"/>
          <w:lang w:val="en-US"/>
        </w:rPr>
      </w:pPr>
      <w:r w:rsidRPr="00AD26D0">
        <w:rPr>
          <w:rFonts w:ascii="Bookman Old Style" w:hAnsi="Bookman Old Style"/>
          <w:b/>
          <w:bCs/>
          <w:i/>
          <w:sz w:val="26"/>
          <w:szCs w:val="26"/>
          <w:lang w:val="en-US"/>
        </w:rPr>
        <w:t>Reserve Bank of India (RBI)</w:t>
      </w:r>
    </w:p>
    <w:p w:rsidR="000844AE" w:rsidRDefault="002C2CA6" w:rsidP="002C2CA6">
      <w:pPr>
        <w:spacing w:after="120"/>
        <w:jc w:val="both"/>
      </w:pPr>
      <w:r>
        <w:rPr>
          <w:rFonts w:ascii="Bookman Old Style" w:hAnsi="Bookman Old Style"/>
          <w:bCs/>
          <w:i/>
          <w:sz w:val="24"/>
          <w:szCs w:val="24"/>
          <w:lang w:val="en-US"/>
        </w:rPr>
        <w:t>RBI</w:t>
      </w:r>
      <w:r w:rsidRPr="002C2CA6">
        <w:rPr>
          <w:rFonts w:ascii="Bookman Old Style" w:hAnsi="Bookman Old Style"/>
          <w:bCs/>
          <w:i/>
          <w:sz w:val="24"/>
          <w:szCs w:val="24"/>
          <w:lang w:val="en-US"/>
        </w:rPr>
        <w:t xml:space="preserve"> has imposed a monetary penalty of</w:t>
      </w:r>
      <w:r>
        <w:rPr>
          <w:rFonts w:ascii="Bookman Old Style" w:hAnsi="Bookman Old Style"/>
          <w:bCs/>
          <w:i/>
          <w:sz w:val="24"/>
          <w:szCs w:val="24"/>
          <w:lang w:val="en-US"/>
        </w:rPr>
        <w:t xml:space="preserve"> </w:t>
      </w:r>
      <w:r w:rsidRPr="002C2CA6">
        <w:rPr>
          <w:rFonts w:ascii="Bookman Old Style" w:hAnsi="Bookman Old Style"/>
          <w:bCs/>
          <w:i/>
          <w:sz w:val="24"/>
          <w:szCs w:val="24"/>
          <w:lang w:val="en-US"/>
        </w:rPr>
        <w:t xml:space="preserve">5.00 </w:t>
      </w:r>
      <w:proofErr w:type="spellStart"/>
      <w:r w:rsidRPr="002C2CA6">
        <w:rPr>
          <w:rFonts w:ascii="Bookman Old Style" w:hAnsi="Bookman Old Style"/>
          <w:bCs/>
          <w:i/>
          <w:sz w:val="24"/>
          <w:szCs w:val="24"/>
          <w:lang w:val="en-US"/>
        </w:rPr>
        <w:t>lakh</w:t>
      </w:r>
      <w:proofErr w:type="spellEnd"/>
      <w:r w:rsidRPr="002C2CA6">
        <w:rPr>
          <w:rFonts w:ascii="Bookman Old Style" w:hAnsi="Bookman Old Style"/>
          <w:bCs/>
          <w:i/>
          <w:sz w:val="24"/>
          <w:szCs w:val="24"/>
          <w:lang w:val="en-US"/>
        </w:rPr>
        <w:t xml:space="preserve"> (Rupees five </w:t>
      </w:r>
      <w:proofErr w:type="spellStart"/>
      <w:r w:rsidRPr="002C2CA6">
        <w:rPr>
          <w:rFonts w:ascii="Bookman Old Style" w:hAnsi="Bookman Old Style"/>
          <w:bCs/>
          <w:i/>
          <w:sz w:val="24"/>
          <w:szCs w:val="24"/>
          <w:lang w:val="en-US"/>
        </w:rPr>
        <w:t>lakh</w:t>
      </w:r>
      <w:proofErr w:type="spellEnd"/>
      <w:r w:rsidRPr="002C2CA6">
        <w:rPr>
          <w:rFonts w:ascii="Bookman Old Style" w:hAnsi="Bookman Old Style"/>
          <w:bCs/>
          <w:i/>
          <w:sz w:val="24"/>
          <w:szCs w:val="24"/>
          <w:lang w:val="en-US"/>
        </w:rPr>
        <w:t xml:space="preserve"> only) each on 16 Central Co-operative Banks</w:t>
      </w:r>
      <w:r w:rsidR="000844AE" w:rsidRPr="000844AE">
        <w:rPr>
          <w:rFonts w:ascii="Bookman Old Style" w:hAnsi="Bookman Old Style"/>
          <w:bCs/>
          <w:i/>
          <w:sz w:val="24"/>
          <w:szCs w:val="24"/>
          <w:lang w:val="en-US"/>
        </w:rPr>
        <w:t>.</w:t>
      </w:r>
      <w:r w:rsidR="000844AE">
        <w:rPr>
          <w:rFonts w:ascii="Bookman Old Style" w:hAnsi="Bookman Old Style"/>
          <w:bCs/>
          <w:i/>
          <w:sz w:val="24"/>
          <w:szCs w:val="24"/>
          <w:lang w:val="en-US"/>
        </w:rPr>
        <w:t xml:space="preserve"> For details </w:t>
      </w:r>
      <w:hyperlink r:id="rId11" w:history="1">
        <w:r w:rsidR="000844AE" w:rsidRPr="000844AE">
          <w:rPr>
            <w:rStyle w:val="Hyperlink"/>
            <w:rFonts w:ascii="Bookman Old Style" w:hAnsi="Bookman Old Style"/>
            <w:bCs/>
            <w:i/>
            <w:color w:val="FF0000"/>
            <w:sz w:val="24"/>
            <w:szCs w:val="24"/>
            <w:lang w:val="en-US"/>
          </w:rPr>
          <w:t>click here</w:t>
        </w:r>
      </w:hyperlink>
    </w:p>
    <w:p w:rsidR="002C2CA6" w:rsidRDefault="002C2CA6" w:rsidP="002C2CA6">
      <w:pPr>
        <w:spacing w:after="120"/>
        <w:jc w:val="both"/>
      </w:pPr>
    </w:p>
    <w:p w:rsidR="002C2CA6" w:rsidRDefault="002C2CA6" w:rsidP="002C2CA6">
      <w:pPr>
        <w:spacing w:after="120"/>
        <w:jc w:val="both"/>
        <w:rPr>
          <w:rFonts w:ascii="Bookman Old Style" w:hAnsi="Bookman Old Style"/>
          <w:bCs/>
          <w:i/>
          <w:color w:val="FF0000"/>
          <w:sz w:val="24"/>
          <w:szCs w:val="24"/>
          <w:lang w:val="en-US"/>
        </w:rPr>
      </w:pPr>
      <w:r>
        <w:rPr>
          <w:rFonts w:ascii="Bookman Old Style" w:hAnsi="Bookman Old Style"/>
          <w:bCs/>
          <w:i/>
          <w:sz w:val="24"/>
          <w:szCs w:val="24"/>
          <w:lang w:val="en-US"/>
        </w:rPr>
        <w:t xml:space="preserve">RBI </w:t>
      </w:r>
      <w:r w:rsidRPr="002C2CA6">
        <w:rPr>
          <w:rFonts w:ascii="Bookman Old Style" w:hAnsi="Bookman Old Style"/>
          <w:bCs/>
          <w:i/>
          <w:sz w:val="24"/>
          <w:szCs w:val="24"/>
          <w:lang w:val="en-US"/>
        </w:rPr>
        <w:t>has issued guidelines for providing greater flexibility to both Foreign Portfolio Investors (FPIs) and domestic participants in the exchange traded currency derivatives (ETCD) market.</w:t>
      </w:r>
      <w:r>
        <w:rPr>
          <w:rFonts w:ascii="Bookman Old Style" w:hAnsi="Bookman Old Style"/>
          <w:bCs/>
          <w:i/>
          <w:sz w:val="24"/>
          <w:szCs w:val="24"/>
          <w:lang w:val="en-US"/>
        </w:rPr>
        <w:t xml:space="preserve"> For details </w:t>
      </w:r>
      <w:hyperlink r:id="rId12" w:history="1">
        <w:r w:rsidRPr="002C2CA6">
          <w:rPr>
            <w:rStyle w:val="Hyperlink"/>
            <w:rFonts w:ascii="Bookman Old Style" w:hAnsi="Bookman Old Style"/>
            <w:bCs/>
            <w:i/>
            <w:color w:val="FF0000"/>
            <w:sz w:val="24"/>
            <w:szCs w:val="24"/>
            <w:lang w:val="en-US"/>
          </w:rPr>
          <w:t>click here</w:t>
        </w:r>
      </w:hyperlink>
    </w:p>
    <w:p w:rsidR="003D7A73" w:rsidRDefault="003D7A73" w:rsidP="002C2CA6">
      <w:pPr>
        <w:spacing w:after="120"/>
        <w:jc w:val="both"/>
        <w:rPr>
          <w:rFonts w:ascii="Bookman Old Style" w:hAnsi="Bookman Old Style"/>
          <w:bCs/>
          <w:i/>
          <w:color w:val="FF0000"/>
          <w:sz w:val="24"/>
          <w:szCs w:val="24"/>
          <w:lang w:val="en-US"/>
        </w:rPr>
      </w:pPr>
    </w:p>
    <w:p w:rsidR="003D7A73" w:rsidRDefault="003D7A73" w:rsidP="002C2CA6">
      <w:pPr>
        <w:spacing w:after="120"/>
        <w:jc w:val="both"/>
        <w:rPr>
          <w:rFonts w:ascii="Bookman Old Style" w:hAnsi="Bookman Old Style"/>
          <w:bCs/>
          <w:i/>
          <w:sz w:val="24"/>
          <w:szCs w:val="24"/>
          <w:lang w:val="en-US"/>
        </w:rPr>
      </w:pPr>
      <w:r w:rsidRPr="003D7A73">
        <w:rPr>
          <w:rFonts w:ascii="Bookman Old Style" w:hAnsi="Bookman Old Style"/>
          <w:bCs/>
          <w:i/>
          <w:sz w:val="24"/>
          <w:szCs w:val="24"/>
          <w:lang w:val="en-US"/>
        </w:rPr>
        <w:t xml:space="preserve">RBI </w:t>
      </w:r>
      <w:r w:rsidR="00043F7B" w:rsidRPr="003D7A73">
        <w:rPr>
          <w:rFonts w:ascii="Bookman Old Style" w:hAnsi="Bookman Old Style"/>
          <w:bCs/>
          <w:i/>
          <w:sz w:val="24"/>
          <w:szCs w:val="24"/>
          <w:lang w:val="en-US"/>
        </w:rPr>
        <w:t xml:space="preserve">with a view to more closely align our regulatory framework with the internationally agreed standards </w:t>
      </w:r>
      <w:r w:rsidR="00043F7B">
        <w:rPr>
          <w:rFonts w:ascii="Bookman Old Style" w:hAnsi="Bookman Old Style"/>
          <w:bCs/>
          <w:i/>
          <w:sz w:val="24"/>
          <w:szCs w:val="24"/>
          <w:lang w:val="en-US"/>
        </w:rPr>
        <w:t xml:space="preserve">has </w:t>
      </w:r>
      <w:r w:rsidRPr="003D7A73">
        <w:rPr>
          <w:rFonts w:ascii="Bookman Old Style" w:hAnsi="Bookman Old Style"/>
          <w:bCs/>
          <w:i/>
          <w:sz w:val="24"/>
          <w:szCs w:val="24"/>
          <w:lang w:val="en-US"/>
        </w:rPr>
        <w:t>make certain modifications / amendments to the guidelines on Basel III capital and liquidity regulations, implementation of advanced model-based approaches for credit, market and operational risk, guidelines on compensation and</w:t>
      </w:r>
      <w:r w:rsidR="00043F7B">
        <w:rPr>
          <w:rFonts w:ascii="Bookman Old Style" w:hAnsi="Bookman Old Style"/>
          <w:bCs/>
          <w:i/>
          <w:sz w:val="24"/>
          <w:szCs w:val="24"/>
          <w:lang w:val="en-US"/>
        </w:rPr>
        <w:t xml:space="preserve"> </w:t>
      </w:r>
      <w:proofErr w:type="spellStart"/>
      <w:r w:rsidR="00043F7B">
        <w:rPr>
          <w:rFonts w:ascii="Bookman Old Style" w:hAnsi="Bookman Old Style"/>
          <w:bCs/>
          <w:i/>
          <w:sz w:val="24"/>
          <w:szCs w:val="24"/>
          <w:lang w:val="en-US"/>
        </w:rPr>
        <w:t>securitisation</w:t>
      </w:r>
      <w:proofErr w:type="spellEnd"/>
      <w:r w:rsidR="00043F7B">
        <w:rPr>
          <w:rFonts w:ascii="Bookman Old Style" w:hAnsi="Bookman Old Style"/>
          <w:bCs/>
          <w:i/>
          <w:sz w:val="24"/>
          <w:szCs w:val="24"/>
          <w:lang w:val="en-US"/>
        </w:rPr>
        <w:t xml:space="preserve"> exposures, etc. For details </w:t>
      </w:r>
      <w:hyperlink r:id="rId13" w:history="1">
        <w:r w:rsidR="00043F7B" w:rsidRPr="00043F7B">
          <w:rPr>
            <w:rStyle w:val="Hyperlink"/>
            <w:rFonts w:ascii="Bookman Old Style" w:hAnsi="Bookman Old Style"/>
            <w:bCs/>
            <w:i/>
            <w:color w:val="FF0000"/>
            <w:sz w:val="24"/>
            <w:szCs w:val="24"/>
            <w:lang w:val="en-US"/>
          </w:rPr>
          <w:t>click here</w:t>
        </w:r>
      </w:hyperlink>
      <w:r w:rsidRPr="003D7A73">
        <w:rPr>
          <w:rFonts w:ascii="Bookman Old Style" w:hAnsi="Bookman Old Style"/>
          <w:bCs/>
          <w:i/>
          <w:sz w:val="24"/>
          <w:szCs w:val="24"/>
          <w:lang w:val="en-US"/>
        </w:rPr>
        <w:t xml:space="preserve"> </w:t>
      </w:r>
    </w:p>
    <w:p w:rsidR="009E353D" w:rsidRDefault="009E353D" w:rsidP="002C2CA6">
      <w:pPr>
        <w:spacing w:after="120"/>
        <w:jc w:val="both"/>
        <w:rPr>
          <w:rFonts w:ascii="Bookman Old Style" w:hAnsi="Bookman Old Style"/>
          <w:bCs/>
          <w:i/>
          <w:sz w:val="24"/>
          <w:szCs w:val="24"/>
          <w:lang w:val="en-US"/>
        </w:rPr>
      </w:pPr>
    </w:p>
    <w:p w:rsidR="009E353D" w:rsidRPr="003D7A73" w:rsidRDefault="009E353D" w:rsidP="002C2CA6">
      <w:pPr>
        <w:spacing w:after="120"/>
        <w:jc w:val="both"/>
        <w:rPr>
          <w:rFonts w:ascii="Bookman Old Style" w:hAnsi="Bookman Old Style"/>
          <w:bCs/>
          <w:i/>
          <w:sz w:val="24"/>
          <w:szCs w:val="24"/>
          <w:lang w:val="en-US"/>
        </w:rPr>
      </w:pPr>
      <w:r>
        <w:rPr>
          <w:rFonts w:ascii="Bookman Old Style" w:hAnsi="Bookman Old Style"/>
          <w:bCs/>
          <w:i/>
          <w:sz w:val="24"/>
          <w:szCs w:val="24"/>
          <w:lang w:val="en-US"/>
        </w:rPr>
        <w:t>RBI has</w:t>
      </w:r>
      <w:r w:rsidRPr="009E353D">
        <w:rPr>
          <w:rFonts w:ascii="Bookman Old Style" w:hAnsi="Bookman Old Style"/>
          <w:bCs/>
          <w:i/>
          <w:sz w:val="24"/>
          <w:szCs w:val="24"/>
          <w:lang w:val="en-US"/>
        </w:rPr>
        <w:t xml:space="preserve"> decided to increase the limit (long as well as short) for </w:t>
      </w:r>
      <w:r w:rsidR="005642BD" w:rsidRPr="005642BD">
        <w:rPr>
          <w:rFonts w:ascii="Bookman Old Style" w:hAnsi="Bookman Old Style"/>
          <w:bCs/>
          <w:i/>
          <w:sz w:val="24"/>
          <w:szCs w:val="24"/>
          <w:lang w:val="en-US"/>
        </w:rPr>
        <w:t>Foreign Portfolio Investors</w:t>
      </w:r>
      <w:r w:rsidR="005642BD">
        <w:rPr>
          <w:rFonts w:ascii="Bookman Old Style" w:hAnsi="Bookman Old Style"/>
          <w:bCs/>
          <w:i/>
          <w:sz w:val="24"/>
          <w:szCs w:val="24"/>
          <w:lang w:val="en-US"/>
        </w:rPr>
        <w:t xml:space="preserve"> (</w:t>
      </w:r>
      <w:r w:rsidRPr="009E353D">
        <w:rPr>
          <w:rFonts w:ascii="Bookman Old Style" w:hAnsi="Bookman Old Style"/>
          <w:bCs/>
          <w:i/>
          <w:sz w:val="24"/>
          <w:szCs w:val="24"/>
          <w:lang w:val="en-US"/>
        </w:rPr>
        <w:t>FPIs</w:t>
      </w:r>
      <w:r w:rsidR="005642BD">
        <w:rPr>
          <w:rFonts w:ascii="Bookman Old Style" w:hAnsi="Bookman Old Style"/>
          <w:bCs/>
          <w:i/>
          <w:sz w:val="24"/>
          <w:szCs w:val="24"/>
          <w:lang w:val="en-US"/>
        </w:rPr>
        <w:t>)</w:t>
      </w:r>
      <w:r w:rsidRPr="009E353D">
        <w:rPr>
          <w:rFonts w:ascii="Bookman Old Style" w:hAnsi="Bookman Old Style"/>
          <w:bCs/>
          <w:i/>
          <w:sz w:val="24"/>
          <w:szCs w:val="24"/>
          <w:lang w:val="en-US"/>
        </w:rPr>
        <w:t xml:space="preserve"> in USD-INR pair </w:t>
      </w:r>
      <w:proofErr w:type="spellStart"/>
      <w:r w:rsidRPr="009E353D">
        <w:rPr>
          <w:rFonts w:ascii="Bookman Old Style" w:hAnsi="Bookman Old Style"/>
          <w:bCs/>
          <w:i/>
          <w:sz w:val="24"/>
          <w:szCs w:val="24"/>
          <w:lang w:val="en-US"/>
        </w:rPr>
        <w:t>upto</w:t>
      </w:r>
      <w:proofErr w:type="spellEnd"/>
      <w:r w:rsidRPr="009E353D">
        <w:rPr>
          <w:rFonts w:ascii="Bookman Old Style" w:hAnsi="Bookman Old Style"/>
          <w:bCs/>
          <w:i/>
          <w:sz w:val="24"/>
          <w:szCs w:val="24"/>
          <w:lang w:val="en-US"/>
        </w:rPr>
        <w:t xml:space="preserve"> USD 15 million per exchange. </w:t>
      </w:r>
      <w:r>
        <w:rPr>
          <w:rFonts w:ascii="Bookman Old Style" w:hAnsi="Bookman Old Style"/>
          <w:bCs/>
          <w:i/>
          <w:sz w:val="24"/>
          <w:szCs w:val="24"/>
          <w:lang w:val="en-US"/>
        </w:rPr>
        <w:t xml:space="preserve">For details </w:t>
      </w:r>
      <w:hyperlink r:id="rId14" w:history="1">
        <w:r w:rsidRPr="009E353D">
          <w:rPr>
            <w:rStyle w:val="Hyperlink"/>
            <w:rFonts w:ascii="Bookman Old Style" w:hAnsi="Bookman Old Style"/>
            <w:bCs/>
            <w:i/>
            <w:color w:val="FF0000"/>
            <w:sz w:val="24"/>
            <w:szCs w:val="24"/>
            <w:lang w:val="en-US"/>
          </w:rPr>
          <w:t>click here</w:t>
        </w:r>
      </w:hyperlink>
    </w:p>
    <w:p w:rsidR="00045137" w:rsidRPr="00AD26D0" w:rsidRDefault="00045137" w:rsidP="00AD26D0">
      <w:pPr>
        <w:spacing w:before="600" w:after="120"/>
        <w:jc w:val="both"/>
        <w:rPr>
          <w:rFonts w:ascii="Bookman Old Style" w:hAnsi="Bookman Old Style"/>
          <w:b/>
          <w:bCs/>
          <w:i/>
          <w:sz w:val="26"/>
          <w:szCs w:val="26"/>
          <w:lang w:val="en-US"/>
        </w:rPr>
      </w:pPr>
      <w:r w:rsidRPr="00AD26D0">
        <w:rPr>
          <w:rFonts w:ascii="Bookman Old Style" w:hAnsi="Bookman Old Style"/>
          <w:b/>
          <w:bCs/>
          <w:i/>
          <w:sz w:val="26"/>
          <w:szCs w:val="26"/>
          <w:lang w:val="en-US"/>
        </w:rPr>
        <w:t>International Monetary Fund (IMF)</w:t>
      </w:r>
    </w:p>
    <w:p w:rsidR="00045137" w:rsidRPr="00045137" w:rsidRDefault="00045137" w:rsidP="00045137">
      <w:pPr>
        <w:spacing w:before="120" w:after="360"/>
        <w:jc w:val="both"/>
        <w:rPr>
          <w:rFonts w:ascii="Bookman Old Style" w:hAnsi="Bookman Old Style"/>
          <w:bCs/>
          <w:i/>
          <w:sz w:val="24"/>
          <w:szCs w:val="24"/>
          <w:lang w:val="en-US"/>
        </w:rPr>
      </w:pPr>
      <w:r w:rsidRPr="00045137">
        <w:rPr>
          <w:rFonts w:ascii="Bookman Old Style" w:hAnsi="Bookman Old Style"/>
          <w:bCs/>
          <w:i/>
          <w:sz w:val="24"/>
          <w:szCs w:val="24"/>
          <w:lang w:val="en-US"/>
        </w:rPr>
        <w:t>IMF released Global Housing Watch: Quarterly Update (March</w:t>
      </w:r>
      <w:r w:rsidR="00960719">
        <w:rPr>
          <w:rFonts w:ascii="Bookman Old Style" w:hAnsi="Bookman Old Style"/>
          <w:bCs/>
          <w:i/>
          <w:sz w:val="24"/>
          <w:szCs w:val="24"/>
          <w:lang w:val="en-US"/>
        </w:rPr>
        <w:t>,</w:t>
      </w:r>
      <w:r w:rsidRPr="00045137">
        <w:rPr>
          <w:rFonts w:ascii="Bookman Old Style" w:hAnsi="Bookman Old Style"/>
          <w:bCs/>
          <w:i/>
          <w:sz w:val="24"/>
          <w:szCs w:val="24"/>
          <w:lang w:val="en-US"/>
        </w:rPr>
        <w:t xml:space="preserve"> 2015</w:t>
      </w:r>
      <w:r w:rsidR="00960719">
        <w:rPr>
          <w:rFonts w:ascii="Bookman Old Style" w:hAnsi="Bookman Old Style"/>
          <w:bCs/>
          <w:i/>
          <w:sz w:val="24"/>
          <w:szCs w:val="24"/>
          <w:lang w:val="en-US"/>
        </w:rPr>
        <w:t xml:space="preserve">). For details, </w:t>
      </w:r>
      <w:hyperlink r:id="rId15" w:history="1">
        <w:r w:rsidR="00960719" w:rsidRPr="00960719">
          <w:rPr>
            <w:rStyle w:val="Hyperlink"/>
            <w:rFonts w:ascii="Bookman Old Style" w:hAnsi="Bookman Old Style"/>
            <w:bCs/>
            <w:i/>
            <w:color w:val="FF0000"/>
            <w:sz w:val="24"/>
            <w:szCs w:val="24"/>
            <w:lang w:val="en-US"/>
          </w:rPr>
          <w:t>click here</w:t>
        </w:r>
      </w:hyperlink>
    </w:p>
    <w:p w:rsidR="009D1EDE" w:rsidRPr="00AD26D0" w:rsidRDefault="009D1EDE" w:rsidP="00AD26D0">
      <w:pPr>
        <w:spacing w:before="600" w:after="120"/>
        <w:rPr>
          <w:rFonts w:ascii="Bookman Old Style" w:hAnsi="Bookman Old Style"/>
          <w:b/>
          <w:bCs/>
          <w:i/>
          <w:sz w:val="26"/>
          <w:szCs w:val="26"/>
          <w:lang w:val="en-US"/>
        </w:rPr>
      </w:pPr>
      <w:r w:rsidRPr="00AD26D0">
        <w:rPr>
          <w:rFonts w:ascii="Bookman Old Style" w:hAnsi="Bookman Old Style"/>
          <w:b/>
          <w:bCs/>
          <w:i/>
          <w:sz w:val="26"/>
          <w:szCs w:val="26"/>
          <w:lang w:val="en-US"/>
        </w:rPr>
        <w:t>Securities and Exchange Board of India (SEBI)</w:t>
      </w:r>
    </w:p>
    <w:p w:rsidR="008630F2" w:rsidRDefault="009D1EDE" w:rsidP="00E736D4">
      <w:pPr>
        <w:spacing w:after="240"/>
        <w:jc w:val="both"/>
        <w:rPr>
          <w:rFonts w:ascii="Bookman Old Style" w:hAnsi="Bookman Old Style"/>
          <w:bCs/>
          <w:i/>
          <w:sz w:val="24"/>
          <w:szCs w:val="24"/>
          <w:lang w:val="en-US"/>
        </w:rPr>
      </w:pPr>
      <w:r>
        <w:rPr>
          <w:rFonts w:ascii="Bookman Old Style" w:hAnsi="Bookman Old Style"/>
          <w:bCs/>
          <w:i/>
          <w:sz w:val="24"/>
          <w:szCs w:val="24"/>
          <w:lang w:val="en-US"/>
        </w:rPr>
        <w:t xml:space="preserve">SEBI’s </w:t>
      </w:r>
      <w:r w:rsidR="004B379B" w:rsidRPr="004B379B">
        <w:rPr>
          <w:rFonts w:ascii="Bookman Old Style" w:hAnsi="Bookman Old Style"/>
          <w:bCs/>
          <w:i/>
          <w:sz w:val="24"/>
          <w:szCs w:val="24"/>
          <w:lang w:val="en-US"/>
        </w:rPr>
        <w:t>Exit Order in respect of</w:t>
      </w:r>
      <w:r w:rsidR="004B379B">
        <w:rPr>
          <w:rFonts w:ascii="Bookman Old Style" w:hAnsi="Bookman Old Style"/>
          <w:bCs/>
          <w:i/>
          <w:sz w:val="24"/>
          <w:szCs w:val="24"/>
          <w:lang w:val="en-US"/>
        </w:rPr>
        <w:t xml:space="preserve"> </w:t>
      </w:r>
      <w:r w:rsidR="004B379B" w:rsidRPr="004B379B">
        <w:rPr>
          <w:rFonts w:ascii="Bookman Old Style" w:hAnsi="Bookman Old Style"/>
          <w:bCs/>
          <w:i/>
          <w:sz w:val="24"/>
          <w:szCs w:val="24"/>
          <w:lang w:val="en-US"/>
        </w:rPr>
        <w:t>OTC Exchange of India</w:t>
      </w:r>
      <w:r w:rsidRPr="009D1EDE">
        <w:rPr>
          <w:rFonts w:ascii="Bookman Old Style" w:hAnsi="Bookman Old Style"/>
          <w:bCs/>
          <w:i/>
          <w:sz w:val="24"/>
          <w:szCs w:val="24"/>
          <w:lang w:val="en-US"/>
        </w:rPr>
        <w:t>.</w:t>
      </w:r>
      <w:r>
        <w:rPr>
          <w:rFonts w:ascii="Bookman Old Style" w:hAnsi="Bookman Old Style"/>
          <w:b/>
          <w:bCs/>
          <w:i/>
          <w:sz w:val="24"/>
          <w:szCs w:val="24"/>
          <w:lang w:val="en-US"/>
        </w:rPr>
        <w:t xml:space="preserve"> </w:t>
      </w:r>
      <w:r w:rsidR="008630F2">
        <w:rPr>
          <w:rFonts w:ascii="Bookman Old Style" w:hAnsi="Bookman Old Style"/>
          <w:bCs/>
          <w:i/>
          <w:sz w:val="24"/>
          <w:szCs w:val="24"/>
          <w:lang w:val="en-US"/>
        </w:rPr>
        <w:t xml:space="preserve">For details, </w:t>
      </w:r>
      <w:hyperlink r:id="rId16" w:history="1">
        <w:r w:rsidR="008630F2" w:rsidRPr="008630F2">
          <w:rPr>
            <w:rStyle w:val="Hyperlink"/>
            <w:rFonts w:ascii="Bookman Old Style" w:hAnsi="Bookman Old Style"/>
            <w:bCs/>
            <w:i/>
            <w:color w:val="FF0000"/>
            <w:sz w:val="24"/>
            <w:szCs w:val="24"/>
            <w:lang w:val="en-US"/>
          </w:rPr>
          <w:t>click here</w:t>
        </w:r>
      </w:hyperlink>
    </w:p>
    <w:p w:rsidR="00F97188" w:rsidRDefault="00F97188" w:rsidP="00493731">
      <w:pPr>
        <w:spacing w:before="120" w:after="120"/>
        <w:rPr>
          <w:rFonts w:ascii="Bookman Old Style" w:hAnsi="Bookman Old Style"/>
          <w:b/>
          <w:bCs/>
          <w:color w:val="984806" w:themeColor="accent6" w:themeShade="80"/>
          <w:sz w:val="30"/>
          <w:szCs w:val="30"/>
          <w:lang w:val="en-US"/>
        </w:rPr>
      </w:pPr>
    </w:p>
    <w:p w:rsidR="00493731" w:rsidRPr="00367137" w:rsidRDefault="00493731" w:rsidP="00493731">
      <w:pPr>
        <w:spacing w:before="120" w:after="120"/>
        <w:rPr>
          <w:rFonts w:ascii="Bookman Old Style" w:hAnsi="Bookman Old Style"/>
          <w:color w:val="984806" w:themeColor="accent6" w:themeShade="80"/>
          <w:sz w:val="30"/>
          <w:szCs w:val="30"/>
        </w:rPr>
      </w:pPr>
      <w:r w:rsidRPr="00367137">
        <w:rPr>
          <w:rFonts w:ascii="Bookman Old Style" w:hAnsi="Bookman Old Style"/>
          <w:b/>
          <w:bCs/>
          <w:color w:val="984806" w:themeColor="accent6" w:themeShade="80"/>
          <w:sz w:val="30"/>
          <w:szCs w:val="30"/>
          <w:lang w:val="en-US"/>
        </w:rPr>
        <w:t>Legal Term of the Day</w:t>
      </w:r>
      <w:r w:rsidRPr="00367137">
        <w:rPr>
          <w:rFonts w:ascii="Bookman Old Style" w:hAnsi="Bookman Old Style"/>
          <w:color w:val="984806" w:themeColor="accent6" w:themeShade="80"/>
          <w:sz w:val="30"/>
          <w:szCs w:val="30"/>
        </w:rPr>
        <w:t xml:space="preserve"> </w:t>
      </w:r>
    </w:p>
    <w:p w:rsidR="00493731" w:rsidRPr="00E8414D" w:rsidRDefault="00493731" w:rsidP="00493731">
      <w:pPr>
        <w:spacing w:after="120"/>
        <w:jc w:val="both"/>
        <w:rPr>
          <w:rFonts w:ascii="Bookman Old Style" w:hAnsi="Bookman Old Style"/>
          <w:sz w:val="24"/>
          <w:szCs w:val="24"/>
        </w:rPr>
      </w:pPr>
      <w:r w:rsidRPr="00E8414D">
        <w:rPr>
          <w:rFonts w:ascii="Bookman Old Style" w:hAnsi="Bookman Old Style"/>
          <w:b/>
          <w:bCs/>
          <w:i/>
          <w:iCs/>
          <w:sz w:val="24"/>
          <w:szCs w:val="24"/>
          <w:lang w:val="en-US"/>
        </w:rPr>
        <w:t>“</w:t>
      </w:r>
      <w:proofErr w:type="spellStart"/>
      <w:r w:rsidR="00755BDB" w:rsidRPr="00755BDB">
        <w:rPr>
          <w:rFonts w:ascii="Bookman Old Style" w:hAnsi="Bookman Old Style"/>
          <w:b/>
          <w:bCs/>
          <w:i/>
          <w:iCs/>
          <w:sz w:val="24"/>
          <w:szCs w:val="24"/>
        </w:rPr>
        <w:t>Dubitante</w:t>
      </w:r>
      <w:proofErr w:type="spellEnd"/>
      <w:r w:rsidRPr="00E8414D">
        <w:rPr>
          <w:rFonts w:ascii="Bookman Old Style" w:hAnsi="Bookman Old Style"/>
          <w:b/>
          <w:bCs/>
          <w:i/>
          <w:iCs/>
          <w:sz w:val="24"/>
          <w:szCs w:val="24"/>
          <w:lang w:val="en-US"/>
        </w:rPr>
        <w:t>”</w:t>
      </w:r>
      <w:r w:rsidRPr="00E8414D">
        <w:rPr>
          <w:rFonts w:ascii="Bookman Old Style" w:hAnsi="Bookman Old Style"/>
          <w:i/>
          <w:iCs/>
          <w:sz w:val="24"/>
          <w:szCs w:val="24"/>
        </w:rPr>
        <w:t xml:space="preserve"> </w:t>
      </w:r>
    </w:p>
    <w:p w:rsidR="00493731" w:rsidRDefault="00755BDB" w:rsidP="00990DC0">
      <w:pPr>
        <w:spacing w:before="120" w:after="240"/>
        <w:rPr>
          <w:rFonts w:ascii="Bookman Old Style" w:hAnsi="Bookman Old Style"/>
          <w:b/>
          <w:bCs/>
          <w:sz w:val="30"/>
          <w:szCs w:val="30"/>
          <w:lang w:val="en-US"/>
        </w:rPr>
      </w:pPr>
      <w:proofErr w:type="gramStart"/>
      <w:r w:rsidRPr="00755BDB">
        <w:rPr>
          <w:rFonts w:ascii="Bookman Old Style" w:hAnsi="Bookman Old Style"/>
          <w:sz w:val="24"/>
          <w:szCs w:val="24"/>
        </w:rPr>
        <w:t>Doubting the correctness of the decision.</w:t>
      </w:r>
      <w:proofErr w:type="gramEnd"/>
    </w:p>
    <w:p w:rsidR="00571FA7" w:rsidRDefault="00571FA7" w:rsidP="00493731">
      <w:pPr>
        <w:spacing w:before="240" w:after="120"/>
        <w:rPr>
          <w:rFonts w:ascii="Bookman Old Style" w:hAnsi="Bookman Old Style"/>
          <w:b/>
          <w:bCs/>
          <w:color w:val="984806" w:themeColor="accent6" w:themeShade="80"/>
          <w:sz w:val="30"/>
          <w:szCs w:val="30"/>
          <w:lang w:val="en-US"/>
        </w:rPr>
      </w:pPr>
    </w:p>
    <w:p w:rsidR="00493731" w:rsidRPr="00367137" w:rsidRDefault="00493731" w:rsidP="00493731">
      <w:pPr>
        <w:spacing w:before="240" w:after="12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 xml:space="preserve">Market Update </w:t>
      </w:r>
      <w:r w:rsidRPr="00367137">
        <w:rPr>
          <w:rFonts w:ascii="Bookman Old Style" w:hAnsi="Bookman Old Style"/>
          <w:b/>
          <w:bCs/>
          <w:color w:val="984806" w:themeColor="accent6" w:themeShade="80"/>
          <w:sz w:val="10"/>
          <w:szCs w:val="10"/>
          <w:lang w:val="en-US"/>
        </w:rPr>
        <w:t xml:space="preserve">at </w:t>
      </w:r>
      <w:r w:rsidR="00F6697F">
        <w:rPr>
          <w:rFonts w:ascii="Bookman Old Style" w:hAnsi="Bookman Old Style"/>
          <w:b/>
          <w:bCs/>
          <w:color w:val="984806" w:themeColor="accent6" w:themeShade="80"/>
          <w:sz w:val="10"/>
          <w:szCs w:val="10"/>
          <w:lang w:val="en-US"/>
        </w:rPr>
        <w:t>10</w:t>
      </w:r>
      <w:r w:rsidRPr="00367137">
        <w:rPr>
          <w:rFonts w:ascii="Bookman Old Style" w:hAnsi="Bookman Old Style"/>
          <w:b/>
          <w:bCs/>
          <w:color w:val="984806" w:themeColor="accent6" w:themeShade="80"/>
          <w:sz w:val="10"/>
          <w:szCs w:val="10"/>
          <w:lang w:val="en-US"/>
        </w:rPr>
        <w:t>.</w:t>
      </w:r>
      <w:r w:rsidR="00F6697F">
        <w:rPr>
          <w:rFonts w:ascii="Bookman Old Style" w:hAnsi="Bookman Old Style"/>
          <w:b/>
          <w:bCs/>
          <w:color w:val="984806" w:themeColor="accent6" w:themeShade="80"/>
          <w:sz w:val="10"/>
          <w:szCs w:val="10"/>
          <w:lang w:val="en-US"/>
        </w:rPr>
        <w:t>1</w:t>
      </w:r>
      <w:r w:rsidR="00AC5423">
        <w:rPr>
          <w:rFonts w:ascii="Bookman Old Style" w:hAnsi="Bookman Old Style"/>
          <w:b/>
          <w:bCs/>
          <w:color w:val="984806" w:themeColor="accent6" w:themeShade="80"/>
          <w:sz w:val="10"/>
          <w:szCs w:val="10"/>
          <w:lang w:val="en-US"/>
        </w:rPr>
        <w:t>9</w:t>
      </w:r>
      <w:r w:rsidRPr="00367137">
        <w:rPr>
          <w:rFonts w:ascii="Bookman Old Style" w:hAnsi="Bookman Old Style"/>
          <w:b/>
          <w:bCs/>
          <w:color w:val="984806" w:themeColor="accent6" w:themeShade="80"/>
          <w:sz w:val="10"/>
          <w:szCs w:val="10"/>
          <w:lang w:val="en-US"/>
        </w:rPr>
        <w:t xml:space="preserve">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119"/>
        <w:gridCol w:w="2210"/>
      </w:tblGrid>
      <w:tr w:rsidR="00493731" w:rsidTr="00551433">
        <w:tc>
          <w:tcPr>
            <w:tcW w:w="2802" w:type="dxa"/>
          </w:tcPr>
          <w:p w:rsidR="00493731" w:rsidRPr="00DF0624" w:rsidRDefault="00493731" w:rsidP="00551433">
            <w:pPr>
              <w:spacing w:before="120"/>
              <w:rPr>
                <w:rFonts w:ascii="Bookman Old Style" w:hAnsi="Bookman Old Style"/>
                <w:bCs/>
                <w:sz w:val="24"/>
                <w:szCs w:val="24"/>
                <w:lang w:val="en-US"/>
              </w:rPr>
            </w:pPr>
            <w:r w:rsidRPr="00DF0624">
              <w:rPr>
                <w:rFonts w:ascii="Bookman Old Style" w:hAnsi="Bookman Old Style"/>
                <w:bCs/>
                <w:sz w:val="24"/>
                <w:szCs w:val="24"/>
                <w:lang w:val="en-US"/>
              </w:rPr>
              <w:t>SENSEX</w:t>
            </w:r>
          </w:p>
          <w:p w:rsidR="00493731" w:rsidRPr="00DF0624" w:rsidRDefault="00493731" w:rsidP="00AC5423">
            <w:pPr>
              <w:spacing w:before="120"/>
              <w:rPr>
                <w:rFonts w:ascii="Bookman Old Style" w:hAnsi="Bookman Old Style"/>
                <w:bCs/>
                <w:sz w:val="24"/>
                <w:szCs w:val="24"/>
                <w:lang w:val="en-US"/>
              </w:rPr>
            </w:pPr>
            <w:r>
              <w:rPr>
                <w:rFonts w:ascii="Bookman Old Style" w:hAnsi="Bookman Old Style"/>
                <w:bCs/>
                <w:sz w:val="24"/>
                <w:szCs w:val="24"/>
                <w:lang w:val="en-US"/>
              </w:rPr>
              <w:t>2</w:t>
            </w:r>
            <w:r w:rsidR="009A7DA8">
              <w:rPr>
                <w:rFonts w:ascii="Bookman Old Style" w:hAnsi="Bookman Old Style"/>
                <w:bCs/>
                <w:sz w:val="24"/>
                <w:szCs w:val="24"/>
                <w:lang w:val="en-US"/>
              </w:rPr>
              <w:t>79</w:t>
            </w:r>
            <w:r w:rsidR="00AC5423">
              <w:rPr>
                <w:rFonts w:ascii="Bookman Old Style" w:hAnsi="Bookman Old Style"/>
                <w:bCs/>
                <w:sz w:val="24"/>
                <w:szCs w:val="24"/>
                <w:lang w:val="en-US"/>
              </w:rPr>
              <w:t>87</w:t>
            </w:r>
            <w:r>
              <w:rPr>
                <w:rFonts w:ascii="Bookman Old Style" w:hAnsi="Bookman Old Style"/>
                <w:bCs/>
                <w:sz w:val="24"/>
                <w:szCs w:val="24"/>
                <w:lang w:val="en-US"/>
              </w:rPr>
              <w:t>.</w:t>
            </w:r>
            <w:r w:rsidR="00AC5423">
              <w:rPr>
                <w:rFonts w:ascii="Bookman Old Style" w:hAnsi="Bookman Old Style"/>
                <w:bCs/>
                <w:sz w:val="24"/>
                <w:szCs w:val="24"/>
                <w:lang w:val="en-US"/>
              </w:rPr>
              <w:t>69</w:t>
            </w:r>
            <w:r>
              <w:rPr>
                <w:rFonts w:ascii="Bookman Old Style" w:hAnsi="Bookman Old Style"/>
                <w:bCs/>
                <w:sz w:val="24"/>
                <w:szCs w:val="24"/>
                <w:lang w:val="en-US"/>
              </w:rPr>
              <w:t xml:space="preserve"> (</w:t>
            </w:r>
            <w:r w:rsidR="00CF04DC">
              <w:rPr>
                <w:rFonts w:ascii="Bookman Old Style" w:hAnsi="Bookman Old Style"/>
                <w:bCs/>
                <w:sz w:val="24"/>
                <w:szCs w:val="24"/>
                <w:lang w:val="en-US"/>
              </w:rPr>
              <w:t>+</w:t>
            </w:r>
            <w:r>
              <w:rPr>
                <w:rFonts w:ascii="Bookman Old Style" w:hAnsi="Bookman Old Style"/>
                <w:bCs/>
                <w:sz w:val="24"/>
                <w:szCs w:val="24"/>
                <w:lang w:val="en-US"/>
              </w:rPr>
              <w:t xml:space="preserve"> </w:t>
            </w:r>
            <w:r w:rsidR="00AC5423">
              <w:rPr>
                <w:rFonts w:ascii="Bookman Old Style" w:hAnsi="Bookman Old Style"/>
                <w:bCs/>
                <w:sz w:val="24"/>
                <w:szCs w:val="24"/>
                <w:lang w:val="en-US"/>
              </w:rPr>
              <w:t>30</w:t>
            </w:r>
            <w:r w:rsidR="005B140A">
              <w:rPr>
                <w:rFonts w:ascii="Bookman Old Style" w:hAnsi="Bookman Old Style"/>
                <w:bCs/>
                <w:sz w:val="24"/>
                <w:szCs w:val="24"/>
                <w:lang w:val="en-US"/>
              </w:rPr>
              <w:t>.</w:t>
            </w:r>
            <w:r w:rsidR="00AC5423">
              <w:rPr>
                <w:rFonts w:ascii="Bookman Old Style" w:hAnsi="Bookman Old Style"/>
                <w:bCs/>
                <w:sz w:val="24"/>
                <w:szCs w:val="24"/>
                <w:lang w:val="en-US"/>
              </w:rPr>
              <w:t>20</w:t>
            </w:r>
            <w:r>
              <w:rPr>
                <w:rFonts w:ascii="Bookman Old Style" w:hAnsi="Bookman Old Style"/>
                <w:bCs/>
                <w:sz w:val="24"/>
                <w:szCs w:val="24"/>
                <w:lang w:val="en-US"/>
              </w:rPr>
              <w:t>)</w:t>
            </w:r>
          </w:p>
        </w:tc>
        <w:tc>
          <w:tcPr>
            <w:tcW w:w="2551"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NIFTY</w:t>
            </w:r>
          </w:p>
          <w:p w:rsidR="00493731" w:rsidRPr="00493731" w:rsidRDefault="00493731" w:rsidP="00AC5423">
            <w:pPr>
              <w:spacing w:before="120"/>
              <w:rPr>
                <w:rFonts w:ascii="Bookman Old Style" w:hAnsi="Bookman Old Style"/>
                <w:bCs/>
                <w:sz w:val="24"/>
                <w:szCs w:val="24"/>
              </w:rPr>
            </w:pPr>
            <w:r>
              <w:rPr>
                <w:rFonts w:ascii="Bookman Old Style" w:hAnsi="Bookman Old Style"/>
                <w:bCs/>
                <w:sz w:val="24"/>
                <w:szCs w:val="24"/>
              </w:rPr>
              <w:t>8</w:t>
            </w:r>
            <w:r w:rsidR="009A7DA8">
              <w:rPr>
                <w:rFonts w:ascii="Bookman Old Style" w:hAnsi="Bookman Old Style"/>
                <w:bCs/>
                <w:sz w:val="24"/>
                <w:szCs w:val="24"/>
              </w:rPr>
              <w:t>4</w:t>
            </w:r>
            <w:r w:rsidR="00AC5423">
              <w:rPr>
                <w:rFonts w:ascii="Bookman Old Style" w:hAnsi="Bookman Old Style"/>
                <w:bCs/>
                <w:sz w:val="24"/>
                <w:szCs w:val="24"/>
              </w:rPr>
              <w:t>94</w:t>
            </w:r>
            <w:r w:rsidRPr="00DF0624">
              <w:rPr>
                <w:rFonts w:ascii="Bookman Old Style" w:hAnsi="Bookman Old Style"/>
                <w:bCs/>
                <w:sz w:val="24"/>
                <w:szCs w:val="24"/>
              </w:rPr>
              <w:t>.</w:t>
            </w:r>
            <w:r w:rsidR="00AC5423">
              <w:rPr>
                <w:rFonts w:ascii="Bookman Old Style" w:hAnsi="Bookman Old Style"/>
                <w:bCs/>
                <w:sz w:val="24"/>
                <w:szCs w:val="24"/>
              </w:rPr>
              <w:t>5</w:t>
            </w:r>
            <w:r w:rsidR="005B140A">
              <w:rPr>
                <w:rFonts w:ascii="Bookman Old Style" w:hAnsi="Bookman Old Style"/>
                <w:bCs/>
                <w:sz w:val="24"/>
                <w:szCs w:val="24"/>
              </w:rPr>
              <w:t>0</w:t>
            </w:r>
            <w:r>
              <w:rPr>
                <w:rFonts w:ascii="Bookman Old Style" w:hAnsi="Bookman Old Style"/>
                <w:bCs/>
                <w:sz w:val="24"/>
                <w:szCs w:val="24"/>
              </w:rPr>
              <w:t xml:space="preserve"> (</w:t>
            </w:r>
            <w:r w:rsidR="00CF04DC">
              <w:rPr>
                <w:rFonts w:ascii="Bookman Old Style" w:hAnsi="Bookman Old Style"/>
                <w:bCs/>
                <w:sz w:val="24"/>
                <w:szCs w:val="24"/>
              </w:rPr>
              <w:t>+</w:t>
            </w:r>
            <w:r>
              <w:rPr>
                <w:rFonts w:ascii="Bookman Old Style" w:hAnsi="Bookman Old Style"/>
                <w:bCs/>
                <w:sz w:val="24"/>
                <w:szCs w:val="24"/>
              </w:rPr>
              <w:t xml:space="preserve"> </w:t>
            </w:r>
            <w:r w:rsidR="000B74E1">
              <w:rPr>
                <w:rFonts w:ascii="Bookman Old Style" w:hAnsi="Bookman Old Style"/>
                <w:bCs/>
                <w:sz w:val="24"/>
                <w:szCs w:val="24"/>
              </w:rPr>
              <w:t>3</w:t>
            </w:r>
            <w:r>
              <w:rPr>
                <w:rFonts w:ascii="Bookman Old Style" w:hAnsi="Bookman Old Style"/>
                <w:bCs/>
                <w:sz w:val="24"/>
                <w:szCs w:val="24"/>
              </w:rPr>
              <w:t>.</w:t>
            </w:r>
            <w:r w:rsidR="009A7DA8">
              <w:rPr>
                <w:rFonts w:ascii="Bookman Old Style" w:hAnsi="Bookman Old Style"/>
                <w:bCs/>
                <w:sz w:val="24"/>
                <w:szCs w:val="24"/>
              </w:rPr>
              <w:t>5</w:t>
            </w:r>
            <w:r w:rsidR="007F107B">
              <w:rPr>
                <w:rFonts w:ascii="Bookman Old Style" w:hAnsi="Bookman Old Style"/>
                <w:bCs/>
                <w:sz w:val="24"/>
                <w:szCs w:val="24"/>
              </w:rPr>
              <w:t>0</w:t>
            </w:r>
            <w:r>
              <w:rPr>
                <w:rFonts w:ascii="Bookman Old Style" w:hAnsi="Bookman Old Style"/>
                <w:bCs/>
                <w:sz w:val="24"/>
                <w:szCs w:val="24"/>
              </w:rPr>
              <w:t xml:space="preserve">) </w:t>
            </w:r>
          </w:p>
        </w:tc>
        <w:tc>
          <w:tcPr>
            <w:tcW w:w="3119"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GOLD (MCX) (Rs/10g.)</w:t>
            </w:r>
          </w:p>
          <w:p w:rsidR="00493731" w:rsidRPr="00493731" w:rsidRDefault="00493731" w:rsidP="009A7DA8">
            <w:pPr>
              <w:spacing w:before="120"/>
              <w:rPr>
                <w:rFonts w:ascii="Bookman Old Style" w:hAnsi="Bookman Old Style"/>
                <w:bCs/>
                <w:sz w:val="24"/>
                <w:szCs w:val="24"/>
              </w:rPr>
            </w:pPr>
            <w:r w:rsidRPr="00DF0624">
              <w:rPr>
                <w:rFonts w:ascii="Bookman Old Style" w:hAnsi="Bookman Old Style"/>
                <w:bCs/>
                <w:sz w:val="24"/>
                <w:szCs w:val="24"/>
              </w:rPr>
              <w:t>2</w:t>
            </w:r>
            <w:r w:rsidR="00E9779B">
              <w:rPr>
                <w:rFonts w:ascii="Bookman Old Style" w:hAnsi="Bookman Old Style"/>
                <w:bCs/>
                <w:sz w:val="24"/>
                <w:szCs w:val="24"/>
              </w:rPr>
              <w:t>6</w:t>
            </w:r>
            <w:r w:rsidR="000B74E1">
              <w:rPr>
                <w:rFonts w:ascii="Bookman Old Style" w:hAnsi="Bookman Old Style"/>
                <w:bCs/>
                <w:sz w:val="24"/>
                <w:szCs w:val="24"/>
              </w:rPr>
              <w:t>2</w:t>
            </w:r>
            <w:r w:rsidR="009A7DA8">
              <w:rPr>
                <w:rFonts w:ascii="Bookman Old Style" w:hAnsi="Bookman Old Style"/>
                <w:bCs/>
                <w:sz w:val="24"/>
                <w:szCs w:val="24"/>
              </w:rPr>
              <w:t>83.</w:t>
            </w:r>
            <w:r w:rsidRPr="00DF0624">
              <w:rPr>
                <w:rFonts w:ascii="Bookman Old Style" w:hAnsi="Bookman Old Style"/>
                <w:bCs/>
                <w:sz w:val="24"/>
                <w:szCs w:val="24"/>
              </w:rPr>
              <w:t>00</w:t>
            </w:r>
            <w:r>
              <w:rPr>
                <w:rFonts w:ascii="Bookman Old Style" w:hAnsi="Bookman Old Style"/>
                <w:bCs/>
                <w:sz w:val="24"/>
                <w:szCs w:val="24"/>
              </w:rPr>
              <w:t xml:space="preserve"> (</w:t>
            </w:r>
            <w:r w:rsidR="009A7DA8">
              <w:rPr>
                <w:rFonts w:ascii="Bookman Old Style" w:hAnsi="Bookman Old Style"/>
                <w:bCs/>
                <w:sz w:val="24"/>
                <w:szCs w:val="24"/>
              </w:rPr>
              <w:t>+</w:t>
            </w:r>
            <w:r w:rsidR="00E9779B">
              <w:rPr>
                <w:rFonts w:ascii="Bookman Old Style" w:hAnsi="Bookman Old Style"/>
                <w:bCs/>
                <w:sz w:val="24"/>
                <w:szCs w:val="24"/>
              </w:rPr>
              <w:t xml:space="preserve"> </w:t>
            </w:r>
            <w:r w:rsidR="009A7DA8">
              <w:rPr>
                <w:rFonts w:ascii="Bookman Old Style" w:hAnsi="Bookman Old Style"/>
                <w:bCs/>
                <w:sz w:val="24"/>
                <w:szCs w:val="24"/>
              </w:rPr>
              <w:t>79</w:t>
            </w:r>
            <w:r>
              <w:rPr>
                <w:rFonts w:ascii="Bookman Old Style" w:hAnsi="Bookman Old Style"/>
                <w:bCs/>
                <w:sz w:val="24"/>
                <w:szCs w:val="24"/>
              </w:rPr>
              <w:t>.00)</w:t>
            </w:r>
          </w:p>
        </w:tc>
        <w:tc>
          <w:tcPr>
            <w:tcW w:w="2210"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USD/INR</w:t>
            </w:r>
          </w:p>
          <w:p w:rsidR="00493731" w:rsidRPr="00493731" w:rsidRDefault="00493731" w:rsidP="009A7DA8">
            <w:pPr>
              <w:spacing w:before="120"/>
              <w:rPr>
                <w:rFonts w:ascii="Bookman Old Style" w:hAnsi="Bookman Old Style"/>
                <w:bCs/>
                <w:sz w:val="24"/>
                <w:szCs w:val="24"/>
              </w:rPr>
            </w:pPr>
            <w:r w:rsidRPr="00DF0624">
              <w:rPr>
                <w:rFonts w:ascii="Bookman Old Style" w:hAnsi="Bookman Old Style"/>
                <w:bCs/>
                <w:sz w:val="24"/>
                <w:szCs w:val="24"/>
              </w:rPr>
              <w:t>6</w:t>
            </w:r>
            <w:r>
              <w:rPr>
                <w:rFonts w:ascii="Bookman Old Style" w:hAnsi="Bookman Old Style"/>
                <w:bCs/>
                <w:sz w:val="24"/>
                <w:szCs w:val="24"/>
              </w:rPr>
              <w:t>2</w:t>
            </w:r>
            <w:r w:rsidRPr="00DF0624">
              <w:rPr>
                <w:rFonts w:ascii="Bookman Old Style" w:hAnsi="Bookman Old Style"/>
                <w:bCs/>
                <w:sz w:val="24"/>
                <w:szCs w:val="24"/>
              </w:rPr>
              <w:t>.</w:t>
            </w:r>
            <w:r w:rsidR="009A7DA8">
              <w:rPr>
                <w:rFonts w:ascii="Bookman Old Style" w:hAnsi="Bookman Old Style"/>
                <w:bCs/>
                <w:sz w:val="24"/>
                <w:szCs w:val="24"/>
              </w:rPr>
              <w:t>5</w:t>
            </w:r>
            <w:r>
              <w:rPr>
                <w:rFonts w:ascii="Bookman Old Style" w:hAnsi="Bookman Old Style"/>
                <w:bCs/>
                <w:sz w:val="24"/>
                <w:szCs w:val="24"/>
              </w:rPr>
              <w:t xml:space="preserve"> (</w:t>
            </w:r>
            <w:r w:rsidR="000B74E1">
              <w:rPr>
                <w:rFonts w:ascii="Bookman Old Style" w:hAnsi="Bookman Old Style"/>
                <w:bCs/>
                <w:sz w:val="24"/>
                <w:szCs w:val="24"/>
              </w:rPr>
              <w:t>-</w:t>
            </w:r>
            <w:r>
              <w:rPr>
                <w:rFonts w:ascii="Bookman Old Style" w:hAnsi="Bookman Old Style"/>
                <w:bCs/>
                <w:sz w:val="24"/>
                <w:szCs w:val="24"/>
              </w:rPr>
              <w:t xml:space="preserve"> 0.</w:t>
            </w:r>
            <w:r w:rsidR="009A7DA8">
              <w:rPr>
                <w:rFonts w:ascii="Bookman Old Style" w:hAnsi="Bookman Old Style"/>
                <w:bCs/>
                <w:sz w:val="24"/>
                <w:szCs w:val="24"/>
              </w:rPr>
              <w:t>19</w:t>
            </w:r>
            <w:r>
              <w:rPr>
                <w:rFonts w:ascii="Bookman Old Style" w:hAnsi="Bookman Old Style"/>
                <w:bCs/>
                <w:sz w:val="24"/>
                <w:szCs w:val="24"/>
              </w:rPr>
              <w:t>)</w:t>
            </w:r>
          </w:p>
        </w:tc>
      </w:tr>
    </w:tbl>
    <w:p w:rsidR="00493731" w:rsidRDefault="00493731" w:rsidP="00990DC0">
      <w:pPr>
        <w:spacing w:before="120" w:after="240"/>
        <w:rPr>
          <w:rFonts w:ascii="Bookman Old Style" w:hAnsi="Bookman Old Style"/>
          <w:b/>
          <w:bCs/>
          <w:sz w:val="30"/>
          <w:szCs w:val="30"/>
          <w:lang w:val="en-US"/>
        </w:rPr>
      </w:pPr>
    </w:p>
    <w:p w:rsidR="00990DC0" w:rsidRPr="00367137" w:rsidRDefault="00990DC0" w:rsidP="00990DC0">
      <w:pPr>
        <w:spacing w:before="120" w:after="24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ICSI Update</w:t>
      </w:r>
    </w:p>
    <w:p w:rsidR="000E6676" w:rsidRDefault="000E6676" w:rsidP="000E6676">
      <w:pPr>
        <w:jc w:val="both"/>
        <w:rPr>
          <w:rFonts w:ascii="Bookman Old Style" w:hAnsi="Bookman Old Style"/>
          <w:bCs/>
          <w:i/>
          <w:color w:val="FF0000"/>
          <w:sz w:val="24"/>
          <w:szCs w:val="24"/>
          <w:lang w:val="en-US"/>
        </w:rPr>
      </w:pPr>
      <w:r w:rsidRPr="000E6676">
        <w:rPr>
          <w:rFonts w:ascii="Bookman Old Style" w:hAnsi="Bookman Old Style"/>
          <w:bCs/>
          <w:i/>
          <w:sz w:val="24"/>
          <w:szCs w:val="24"/>
          <w:lang w:val="en-US"/>
        </w:rPr>
        <w:t>The Institute is preparing Panel of Female Company Secretaries for</w:t>
      </w:r>
      <w:r>
        <w:rPr>
          <w:rFonts w:ascii="Bookman Old Style" w:hAnsi="Bookman Old Style"/>
          <w:bCs/>
          <w:i/>
          <w:sz w:val="24"/>
          <w:szCs w:val="24"/>
          <w:lang w:val="en-US"/>
        </w:rPr>
        <w:t xml:space="preserve"> </w:t>
      </w:r>
      <w:r w:rsidRPr="000E6676">
        <w:rPr>
          <w:rFonts w:ascii="Bookman Old Style" w:hAnsi="Bookman Old Style"/>
          <w:bCs/>
          <w:i/>
          <w:sz w:val="24"/>
          <w:szCs w:val="24"/>
          <w:lang w:val="en-US"/>
        </w:rPr>
        <w:t>appointment of Woman Director on the Board of Listed Companies and the</w:t>
      </w:r>
      <w:r>
        <w:rPr>
          <w:rFonts w:ascii="Bookman Old Style" w:hAnsi="Bookman Old Style"/>
          <w:bCs/>
          <w:i/>
          <w:sz w:val="24"/>
          <w:szCs w:val="24"/>
          <w:lang w:val="en-US"/>
        </w:rPr>
        <w:t xml:space="preserve"> </w:t>
      </w:r>
      <w:r w:rsidRPr="000E6676">
        <w:rPr>
          <w:rFonts w:ascii="Bookman Old Style" w:hAnsi="Bookman Old Style"/>
          <w:bCs/>
          <w:i/>
          <w:sz w:val="24"/>
          <w:szCs w:val="24"/>
          <w:lang w:val="en-US"/>
        </w:rPr>
        <w:t>same would be hosted on the Institute’s website</w:t>
      </w:r>
      <w:r>
        <w:rPr>
          <w:rFonts w:ascii="Bookman Old Style" w:hAnsi="Bookman Old Style"/>
          <w:bCs/>
          <w:i/>
          <w:sz w:val="24"/>
          <w:szCs w:val="24"/>
          <w:lang w:val="en-US"/>
        </w:rPr>
        <w:t xml:space="preserve">, </w:t>
      </w:r>
      <w:r w:rsidRPr="000E6676">
        <w:rPr>
          <w:rFonts w:ascii="Bookman Old Style" w:hAnsi="Bookman Old Style"/>
          <w:bCs/>
          <w:i/>
          <w:sz w:val="24"/>
          <w:szCs w:val="24"/>
          <w:lang w:val="en-US"/>
        </w:rPr>
        <w:t>the Female Company Secretaries, who are willing to be appointed</w:t>
      </w:r>
      <w:r>
        <w:rPr>
          <w:rFonts w:ascii="Bookman Old Style" w:hAnsi="Bookman Old Style"/>
          <w:bCs/>
          <w:i/>
          <w:sz w:val="24"/>
          <w:szCs w:val="24"/>
          <w:lang w:val="en-US"/>
        </w:rPr>
        <w:t xml:space="preserve"> </w:t>
      </w:r>
      <w:r w:rsidRPr="000E6676">
        <w:rPr>
          <w:rFonts w:ascii="Bookman Old Style" w:hAnsi="Bookman Old Style"/>
          <w:bCs/>
          <w:i/>
          <w:sz w:val="24"/>
          <w:szCs w:val="24"/>
          <w:lang w:val="en-US"/>
        </w:rPr>
        <w:t>on the Board of Directors of Listed Companies to forward their particulars.</w:t>
      </w:r>
      <w:r>
        <w:rPr>
          <w:rFonts w:ascii="Bookman Old Style" w:hAnsi="Bookman Old Style"/>
          <w:bCs/>
          <w:i/>
          <w:sz w:val="24"/>
          <w:szCs w:val="24"/>
          <w:lang w:val="en-US"/>
        </w:rPr>
        <w:t xml:space="preserve"> For details </w:t>
      </w:r>
      <w:hyperlink r:id="rId17" w:history="1">
        <w:r w:rsidRPr="000E6676">
          <w:rPr>
            <w:rStyle w:val="Hyperlink"/>
            <w:rFonts w:ascii="Bookman Old Style" w:hAnsi="Bookman Old Style"/>
            <w:bCs/>
            <w:i/>
            <w:color w:val="FF0000"/>
            <w:sz w:val="24"/>
            <w:szCs w:val="24"/>
            <w:lang w:val="en-US"/>
          </w:rPr>
          <w:t>click here</w:t>
        </w:r>
      </w:hyperlink>
    </w:p>
    <w:p w:rsidR="000E6676" w:rsidRDefault="000E6676" w:rsidP="000E6676">
      <w:pPr>
        <w:jc w:val="both"/>
        <w:rPr>
          <w:rFonts w:ascii="Bookman Old Style" w:hAnsi="Bookman Old Style"/>
          <w:bCs/>
          <w:i/>
          <w:sz w:val="24"/>
          <w:szCs w:val="24"/>
          <w:lang w:val="en-US"/>
        </w:rPr>
      </w:pPr>
    </w:p>
    <w:p w:rsidR="0076484C" w:rsidRDefault="0076484C" w:rsidP="000E6676">
      <w:pPr>
        <w:jc w:val="both"/>
      </w:pPr>
      <w:r>
        <w:rPr>
          <w:rFonts w:ascii="Bookman Old Style" w:hAnsi="Bookman Old Style"/>
          <w:bCs/>
          <w:i/>
          <w:sz w:val="24"/>
          <w:szCs w:val="24"/>
          <w:lang w:val="en-US"/>
        </w:rPr>
        <w:t xml:space="preserve">ICSI-CCGRT announces </w:t>
      </w:r>
      <w:r w:rsidRPr="0076484C">
        <w:rPr>
          <w:rFonts w:ascii="Bookman Old Style" w:hAnsi="Bookman Old Style"/>
          <w:bCs/>
          <w:i/>
          <w:sz w:val="24"/>
          <w:szCs w:val="24"/>
          <w:lang w:val="en-US"/>
        </w:rPr>
        <w:t>Integrated Company Secretary Course</w:t>
      </w:r>
      <w:r>
        <w:rPr>
          <w:rFonts w:ascii="Bookman Old Style" w:hAnsi="Bookman Old Style"/>
          <w:bCs/>
          <w:i/>
          <w:sz w:val="24"/>
          <w:szCs w:val="24"/>
          <w:lang w:val="en-US"/>
        </w:rPr>
        <w:t xml:space="preserve">. For details </w:t>
      </w:r>
      <w:hyperlink r:id="rId18" w:history="1">
        <w:r w:rsidRPr="0076484C">
          <w:rPr>
            <w:rStyle w:val="Hyperlink"/>
            <w:rFonts w:ascii="Bookman Old Style" w:hAnsi="Bookman Old Style"/>
            <w:bCs/>
            <w:i/>
            <w:color w:val="FF0000"/>
            <w:sz w:val="24"/>
            <w:szCs w:val="24"/>
            <w:lang w:val="en-US"/>
          </w:rPr>
          <w:t>click here</w:t>
        </w:r>
      </w:hyperlink>
    </w:p>
    <w:p w:rsidR="00990DC0" w:rsidRDefault="00990DC0" w:rsidP="00C7200F">
      <w:pPr>
        <w:spacing w:before="240" w:after="120"/>
        <w:jc w:val="both"/>
        <w:rPr>
          <w:rFonts w:ascii="Bookman Old Style" w:hAnsi="Bookman Old Style"/>
          <w:bCs/>
          <w:i/>
          <w:sz w:val="24"/>
          <w:szCs w:val="24"/>
          <w:lang w:val="en-US"/>
        </w:rPr>
      </w:pPr>
    </w:p>
    <w:p w:rsidR="00700674" w:rsidRDefault="00700674" w:rsidP="007C1B91">
      <w:pPr>
        <w:spacing w:before="120" w:after="120"/>
        <w:jc w:val="both"/>
        <w:rPr>
          <w:rFonts w:ascii="Bookman Old Style" w:hAnsi="Bookman Old Style"/>
          <w:bCs/>
          <w:i/>
          <w:color w:val="FF0000"/>
          <w:sz w:val="24"/>
          <w:szCs w:val="24"/>
          <w:lang w:val="en-US"/>
        </w:rPr>
      </w:pPr>
      <w:proofErr w:type="gramStart"/>
      <w:r w:rsidRPr="00700674">
        <w:rPr>
          <w:rFonts w:ascii="Bookman Old Style" w:hAnsi="Bookman Old Style"/>
          <w:bCs/>
          <w:i/>
          <w:sz w:val="24"/>
          <w:szCs w:val="24"/>
          <w:lang w:val="en-US"/>
        </w:rPr>
        <w:t>National Seminar on Secretarial Audit – A Panacea for Good Governance on April 4, 2015 at Kolkata</w:t>
      </w:r>
      <w:r>
        <w:rPr>
          <w:rFonts w:ascii="Bookman Old Style" w:hAnsi="Bookman Old Style"/>
          <w:bCs/>
          <w:i/>
          <w:sz w:val="24"/>
          <w:szCs w:val="24"/>
          <w:lang w:val="en-US"/>
        </w:rPr>
        <w:t>.</w:t>
      </w:r>
      <w:proofErr w:type="gramEnd"/>
      <w:r>
        <w:rPr>
          <w:rFonts w:ascii="Bookman Old Style" w:hAnsi="Bookman Old Style"/>
          <w:bCs/>
          <w:i/>
          <w:sz w:val="24"/>
          <w:szCs w:val="24"/>
          <w:lang w:val="en-US"/>
        </w:rPr>
        <w:t xml:space="preserve"> For details </w:t>
      </w:r>
      <w:hyperlink r:id="rId19" w:history="1">
        <w:r w:rsidRPr="00700674">
          <w:rPr>
            <w:rStyle w:val="Hyperlink"/>
            <w:rFonts w:ascii="Bookman Old Style" w:hAnsi="Bookman Old Style"/>
            <w:bCs/>
            <w:i/>
            <w:color w:val="FF0000"/>
            <w:sz w:val="24"/>
            <w:szCs w:val="24"/>
            <w:lang w:val="en-US"/>
          </w:rPr>
          <w:t>click here</w:t>
        </w:r>
      </w:hyperlink>
    </w:p>
    <w:p w:rsidR="00700674" w:rsidRDefault="00700674" w:rsidP="007C1B91">
      <w:pPr>
        <w:spacing w:before="120" w:after="120"/>
        <w:jc w:val="both"/>
        <w:rPr>
          <w:rFonts w:ascii="Bookman Old Style" w:hAnsi="Bookman Old Style"/>
          <w:bCs/>
          <w:i/>
          <w:sz w:val="24"/>
          <w:szCs w:val="24"/>
          <w:lang w:val="en-US"/>
        </w:rPr>
      </w:pPr>
    </w:p>
    <w:p w:rsidR="00810540" w:rsidRDefault="00810540" w:rsidP="007C1B91">
      <w:pPr>
        <w:spacing w:before="120" w:after="120"/>
        <w:jc w:val="both"/>
        <w:rPr>
          <w:rFonts w:ascii="Bookman Old Style" w:hAnsi="Bookman Old Style"/>
          <w:bCs/>
          <w:i/>
          <w:sz w:val="24"/>
          <w:szCs w:val="24"/>
          <w:lang w:val="en-US"/>
        </w:rPr>
      </w:pPr>
      <w:r>
        <w:rPr>
          <w:rFonts w:ascii="Bookman Old Style" w:hAnsi="Bookman Old Style"/>
          <w:bCs/>
          <w:i/>
          <w:sz w:val="24"/>
          <w:szCs w:val="24"/>
          <w:lang w:val="en-US"/>
        </w:rPr>
        <w:t xml:space="preserve">NIRC of ICSI </w:t>
      </w:r>
      <w:proofErr w:type="spellStart"/>
      <w:r>
        <w:rPr>
          <w:rFonts w:ascii="Bookman Old Style" w:hAnsi="Bookman Old Style"/>
          <w:bCs/>
          <w:i/>
          <w:sz w:val="24"/>
          <w:szCs w:val="24"/>
          <w:lang w:val="en-US"/>
        </w:rPr>
        <w:t>organising</w:t>
      </w:r>
      <w:proofErr w:type="spellEnd"/>
      <w:r>
        <w:rPr>
          <w:rFonts w:ascii="Bookman Old Style" w:hAnsi="Bookman Old Style"/>
          <w:bCs/>
          <w:i/>
          <w:sz w:val="24"/>
          <w:szCs w:val="24"/>
          <w:lang w:val="en-US"/>
        </w:rPr>
        <w:t xml:space="preserve"> </w:t>
      </w:r>
      <w:r w:rsidRPr="00810540">
        <w:rPr>
          <w:rFonts w:ascii="Bookman Old Style" w:hAnsi="Bookman Old Style"/>
          <w:bCs/>
          <w:i/>
          <w:sz w:val="24"/>
          <w:szCs w:val="24"/>
          <w:lang w:val="en-US"/>
        </w:rPr>
        <w:t>15 Days Class Room Study Sessions on Secretarial Audit</w:t>
      </w:r>
      <w:r>
        <w:rPr>
          <w:rFonts w:ascii="Bookman Old Style" w:hAnsi="Bookman Old Style"/>
          <w:bCs/>
          <w:i/>
          <w:sz w:val="24"/>
          <w:szCs w:val="24"/>
          <w:lang w:val="en-US"/>
        </w:rPr>
        <w:t xml:space="preserve"> from </w:t>
      </w:r>
      <w:r w:rsidRPr="00810540">
        <w:rPr>
          <w:rFonts w:ascii="Bookman Old Style" w:hAnsi="Bookman Old Style"/>
          <w:bCs/>
          <w:i/>
          <w:sz w:val="24"/>
          <w:szCs w:val="24"/>
          <w:lang w:val="en-US"/>
        </w:rPr>
        <w:t>6</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April to 30</w:t>
      </w:r>
      <w:r w:rsidRPr="00810540">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A</w:t>
      </w:r>
      <w:r w:rsidRPr="00810540">
        <w:rPr>
          <w:rFonts w:ascii="Bookman Old Style" w:hAnsi="Bookman Old Style"/>
          <w:bCs/>
          <w:i/>
          <w:sz w:val="24"/>
          <w:szCs w:val="24"/>
          <w:lang w:val="en-US"/>
        </w:rPr>
        <w:t>pril, 2015 from 6.15 PM</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w:t>
      </w:r>
      <w:r>
        <w:rPr>
          <w:rFonts w:ascii="Bookman Old Style" w:hAnsi="Bookman Old Style"/>
          <w:bCs/>
          <w:i/>
          <w:sz w:val="24"/>
          <w:szCs w:val="24"/>
          <w:lang w:val="en-US"/>
        </w:rPr>
        <w:t xml:space="preserve"> </w:t>
      </w:r>
      <w:r w:rsidRPr="00810540">
        <w:rPr>
          <w:rFonts w:ascii="Bookman Old Style" w:hAnsi="Bookman Old Style"/>
          <w:bCs/>
          <w:i/>
          <w:sz w:val="24"/>
          <w:szCs w:val="24"/>
          <w:lang w:val="en-US"/>
        </w:rPr>
        <w:t xml:space="preserve">7.45 PM at ICSI-NIRC Building, </w:t>
      </w:r>
      <w:r>
        <w:rPr>
          <w:rFonts w:ascii="Bookman Old Style" w:hAnsi="Bookman Old Style"/>
          <w:bCs/>
          <w:i/>
          <w:sz w:val="24"/>
          <w:szCs w:val="24"/>
          <w:lang w:val="en-US"/>
        </w:rPr>
        <w:t xml:space="preserve">New Delhi. For details </w:t>
      </w:r>
      <w:hyperlink r:id="rId20" w:history="1">
        <w:r w:rsidRPr="00810540">
          <w:rPr>
            <w:rStyle w:val="Hyperlink"/>
            <w:rFonts w:ascii="Bookman Old Style" w:hAnsi="Bookman Old Style"/>
            <w:bCs/>
            <w:i/>
            <w:color w:val="FF0000"/>
            <w:sz w:val="24"/>
            <w:szCs w:val="24"/>
            <w:lang w:val="en-US"/>
          </w:rPr>
          <w:t>click here</w:t>
        </w:r>
      </w:hyperlink>
    </w:p>
    <w:p w:rsidR="00810540" w:rsidRDefault="00810540" w:rsidP="007C1B91">
      <w:pPr>
        <w:spacing w:before="120" w:after="120"/>
        <w:jc w:val="both"/>
        <w:rPr>
          <w:rFonts w:ascii="Bookman Old Style" w:hAnsi="Bookman Old Style"/>
          <w:bCs/>
          <w:i/>
          <w:sz w:val="24"/>
          <w:szCs w:val="24"/>
          <w:lang w:val="en-US"/>
        </w:rPr>
      </w:pPr>
    </w:p>
    <w:p w:rsidR="004227AA" w:rsidRPr="004227AA" w:rsidRDefault="004227AA" w:rsidP="007C1B91">
      <w:pPr>
        <w:spacing w:before="120" w:after="120"/>
        <w:jc w:val="both"/>
        <w:rPr>
          <w:rFonts w:ascii="Bookman Old Style" w:hAnsi="Bookman Old Style"/>
          <w:bCs/>
          <w:i/>
          <w:color w:val="FF0000"/>
          <w:sz w:val="24"/>
          <w:szCs w:val="24"/>
          <w:lang w:val="en-US"/>
        </w:rPr>
      </w:pPr>
      <w:r w:rsidRPr="004227AA">
        <w:rPr>
          <w:rFonts w:ascii="Bookman Old Style" w:hAnsi="Bookman Old Style"/>
          <w:bCs/>
          <w:i/>
          <w:sz w:val="24"/>
          <w:szCs w:val="24"/>
          <w:lang w:val="en-US"/>
        </w:rPr>
        <w:t>Workshop on Board Report on 10</w:t>
      </w:r>
      <w:r w:rsidRPr="004227AA">
        <w:rPr>
          <w:rFonts w:ascii="Bookman Old Style" w:hAnsi="Bookman Old Style"/>
          <w:bCs/>
          <w:i/>
          <w:sz w:val="24"/>
          <w:szCs w:val="24"/>
          <w:vertAlign w:val="superscript"/>
          <w:lang w:val="en-US"/>
        </w:rPr>
        <w:t>th</w:t>
      </w:r>
      <w:r>
        <w:rPr>
          <w:rFonts w:ascii="Bookman Old Style" w:hAnsi="Bookman Old Style"/>
          <w:bCs/>
          <w:i/>
          <w:sz w:val="24"/>
          <w:szCs w:val="24"/>
          <w:lang w:val="en-US"/>
        </w:rPr>
        <w:t xml:space="preserve"> </w:t>
      </w:r>
      <w:r w:rsidRPr="004227AA">
        <w:rPr>
          <w:rFonts w:ascii="Bookman Old Style" w:hAnsi="Bookman Old Style"/>
          <w:bCs/>
          <w:i/>
          <w:sz w:val="24"/>
          <w:szCs w:val="24"/>
          <w:lang w:val="en-US"/>
        </w:rPr>
        <w:t>April, 2015 at PHD House, New Delhi</w:t>
      </w:r>
      <w:r>
        <w:rPr>
          <w:rFonts w:ascii="Bookman Old Style" w:hAnsi="Bookman Old Style"/>
          <w:bCs/>
          <w:i/>
          <w:sz w:val="24"/>
          <w:szCs w:val="24"/>
          <w:lang w:val="en-US"/>
        </w:rPr>
        <w:t xml:space="preserve">. For details </w:t>
      </w:r>
      <w:hyperlink r:id="rId21" w:history="1">
        <w:r w:rsidRPr="004227AA">
          <w:rPr>
            <w:rStyle w:val="Hyperlink"/>
            <w:rFonts w:ascii="Bookman Old Style" w:hAnsi="Bookman Old Style"/>
            <w:bCs/>
            <w:i/>
            <w:color w:val="FF0000"/>
            <w:sz w:val="24"/>
            <w:szCs w:val="24"/>
            <w:lang w:val="en-US"/>
          </w:rPr>
          <w:t>click here</w:t>
        </w:r>
      </w:hyperlink>
    </w:p>
    <w:p w:rsidR="004227AA" w:rsidRDefault="004227AA" w:rsidP="007C1B91">
      <w:pPr>
        <w:spacing w:before="120" w:after="120"/>
        <w:jc w:val="both"/>
        <w:rPr>
          <w:rFonts w:ascii="Bookman Old Style" w:hAnsi="Bookman Old Style"/>
          <w:bCs/>
          <w:i/>
          <w:sz w:val="24"/>
          <w:szCs w:val="24"/>
          <w:lang w:val="en-US"/>
        </w:rPr>
      </w:pPr>
    </w:p>
    <w:p w:rsidR="00990DC0" w:rsidRDefault="00990DC0" w:rsidP="007C1B91">
      <w:pPr>
        <w:spacing w:before="120" w:after="120"/>
        <w:jc w:val="both"/>
      </w:pPr>
      <w:proofErr w:type="spellStart"/>
      <w:r>
        <w:rPr>
          <w:rFonts w:ascii="Bookman Old Style" w:hAnsi="Bookman Old Style"/>
          <w:bCs/>
          <w:i/>
          <w:sz w:val="24"/>
          <w:szCs w:val="24"/>
          <w:lang w:val="en-US"/>
        </w:rPr>
        <w:t>IoD</w:t>
      </w:r>
      <w:proofErr w:type="spellEnd"/>
      <w:r>
        <w:rPr>
          <w:rFonts w:ascii="Bookman Old Style" w:hAnsi="Bookman Old Style"/>
          <w:bCs/>
          <w:i/>
          <w:sz w:val="24"/>
          <w:szCs w:val="24"/>
          <w:lang w:val="en-US"/>
        </w:rPr>
        <w:t xml:space="preserve"> in association with ICSI organizing </w:t>
      </w:r>
      <w:r w:rsidRPr="009A6D86">
        <w:rPr>
          <w:rFonts w:ascii="Bookman Old Style" w:hAnsi="Bookman Old Style"/>
          <w:bCs/>
          <w:i/>
          <w:sz w:val="24"/>
          <w:szCs w:val="24"/>
          <w:lang w:val="en-US"/>
        </w:rPr>
        <w:t>Dubai Global Convention 2015</w:t>
      </w:r>
      <w:r>
        <w:rPr>
          <w:rFonts w:ascii="Bookman Old Style" w:hAnsi="Bookman Old Style"/>
          <w:bCs/>
          <w:i/>
          <w:sz w:val="24"/>
          <w:szCs w:val="24"/>
          <w:lang w:val="en-US"/>
        </w:rPr>
        <w:t xml:space="preserve"> on </w:t>
      </w:r>
      <w:r w:rsidRPr="009A6D86">
        <w:rPr>
          <w:rFonts w:ascii="Bookman Old Style" w:hAnsi="Bookman Old Style"/>
          <w:bCs/>
          <w:i/>
          <w:sz w:val="24"/>
          <w:szCs w:val="24"/>
          <w:lang w:val="en-US"/>
        </w:rPr>
        <w:t xml:space="preserve">20 – 22 April 2015, Hotel </w:t>
      </w:r>
      <w:proofErr w:type="gramStart"/>
      <w:r w:rsidRPr="009A6D86">
        <w:rPr>
          <w:rFonts w:ascii="Bookman Old Style" w:hAnsi="Bookman Old Style"/>
          <w:bCs/>
          <w:i/>
          <w:sz w:val="24"/>
          <w:szCs w:val="24"/>
          <w:lang w:val="en-US"/>
        </w:rPr>
        <w:t>The</w:t>
      </w:r>
      <w:proofErr w:type="gramEnd"/>
      <w:r w:rsidRPr="009A6D86">
        <w:rPr>
          <w:rFonts w:ascii="Bookman Old Style" w:hAnsi="Bookman Old Style"/>
          <w:bCs/>
          <w:i/>
          <w:sz w:val="24"/>
          <w:szCs w:val="24"/>
          <w:lang w:val="en-US"/>
        </w:rPr>
        <w:t xml:space="preserve"> </w:t>
      </w:r>
      <w:proofErr w:type="spellStart"/>
      <w:r w:rsidRPr="009A6D86">
        <w:rPr>
          <w:rFonts w:ascii="Bookman Old Style" w:hAnsi="Bookman Old Style"/>
          <w:bCs/>
          <w:i/>
          <w:sz w:val="24"/>
          <w:szCs w:val="24"/>
          <w:lang w:val="en-US"/>
        </w:rPr>
        <w:t>Meydan</w:t>
      </w:r>
      <w:proofErr w:type="spellEnd"/>
      <w:r w:rsidRPr="009A6D86">
        <w:rPr>
          <w:rFonts w:ascii="Bookman Old Style" w:hAnsi="Bookman Old Style"/>
          <w:bCs/>
          <w:i/>
          <w:sz w:val="24"/>
          <w:szCs w:val="24"/>
          <w:lang w:val="en-US"/>
        </w:rPr>
        <w:t>, Dubai</w:t>
      </w:r>
      <w:r>
        <w:rPr>
          <w:rFonts w:ascii="Bookman Old Style" w:hAnsi="Bookman Old Style"/>
          <w:bCs/>
          <w:i/>
          <w:sz w:val="24"/>
          <w:szCs w:val="24"/>
          <w:lang w:val="en-US"/>
        </w:rPr>
        <w:t xml:space="preserve">. For details, </w:t>
      </w:r>
      <w:hyperlink r:id="rId22" w:history="1">
        <w:r w:rsidRPr="009A6D86">
          <w:rPr>
            <w:rStyle w:val="Hyperlink"/>
            <w:rFonts w:ascii="Bookman Old Style" w:hAnsi="Bookman Old Style"/>
            <w:bCs/>
            <w:i/>
            <w:color w:val="FF0000"/>
            <w:sz w:val="24"/>
            <w:szCs w:val="24"/>
            <w:lang w:val="en-US"/>
          </w:rPr>
          <w:t>click here</w:t>
        </w:r>
      </w:hyperlink>
    </w:p>
    <w:p w:rsidR="00990DC0" w:rsidRDefault="00990DC0" w:rsidP="00C7200F">
      <w:pPr>
        <w:spacing w:before="240" w:after="120"/>
      </w:pPr>
    </w:p>
    <w:p w:rsidR="00242521" w:rsidRPr="00B17B93" w:rsidRDefault="00242521" w:rsidP="00B17B93">
      <w:pPr>
        <w:pBdr>
          <w:bottom w:val="single" w:sz="6" w:space="1" w:color="auto"/>
        </w:pBdr>
        <w:jc w:val="both"/>
        <w:rPr>
          <w:rFonts w:ascii="Bookman Old Style" w:hAnsi="Bookman Old Style"/>
          <w:bCs/>
          <w:sz w:val="24"/>
          <w:szCs w:val="24"/>
          <w:lang w:val="en-US"/>
        </w:rPr>
      </w:pPr>
    </w:p>
    <w:p w:rsidR="00295F28" w:rsidRPr="00605956" w:rsidRDefault="00DF0624" w:rsidP="00605956">
      <w:pPr>
        <w:jc w:val="both"/>
        <w:rPr>
          <w:rFonts w:ascii="Bookman Old Style" w:hAnsi="Bookman Old Style"/>
          <w:bCs/>
          <w:sz w:val="24"/>
          <w:szCs w:val="24"/>
          <w:lang w:val="en-US"/>
        </w:rPr>
      </w:pPr>
      <w:r w:rsidRPr="00367137">
        <w:rPr>
          <w:rFonts w:ascii="Bookman Old Style" w:hAnsi="Bookman Old Style"/>
          <w:b/>
          <w:bCs/>
          <w:color w:val="984806" w:themeColor="accent6" w:themeShade="80"/>
          <w:sz w:val="24"/>
          <w:szCs w:val="24"/>
          <w:lang w:val="en-US"/>
        </w:rPr>
        <w:t xml:space="preserve">For Previous CS UPDATES </w:t>
      </w:r>
      <w:proofErr w:type="gramStart"/>
      <w:r w:rsidRPr="00367137">
        <w:rPr>
          <w:rFonts w:ascii="Bookman Old Style" w:hAnsi="Bookman Old Style"/>
          <w:b/>
          <w:bCs/>
          <w:color w:val="984806" w:themeColor="accent6" w:themeShade="80"/>
          <w:sz w:val="24"/>
          <w:szCs w:val="24"/>
          <w:lang w:val="en-US"/>
        </w:rPr>
        <w:t>visit :</w:t>
      </w:r>
      <w:proofErr w:type="gramEnd"/>
      <w:r w:rsidRPr="00367137">
        <w:rPr>
          <w:rFonts w:ascii="Bookman Old Style" w:hAnsi="Bookman Old Style"/>
          <w:b/>
          <w:bCs/>
          <w:color w:val="984806" w:themeColor="accent6" w:themeShade="80"/>
          <w:sz w:val="24"/>
          <w:szCs w:val="24"/>
          <w:lang w:val="en-US"/>
        </w:rPr>
        <w:cr/>
      </w:r>
      <w:r w:rsidRPr="00DF0624">
        <w:rPr>
          <w:rFonts w:ascii="Bookman Old Style" w:hAnsi="Bookman Old Style"/>
          <w:bCs/>
          <w:sz w:val="24"/>
          <w:szCs w:val="24"/>
          <w:lang w:val="en-US"/>
        </w:rPr>
        <w:t>http://www.icsi.edu/Member/CSUpdate.aspx</w:t>
      </w:r>
      <w:r w:rsidRPr="00DF0624">
        <w:rPr>
          <w:rFonts w:ascii="Bookman Old Style" w:hAnsi="Bookman Old Style"/>
          <w:bCs/>
          <w:sz w:val="24"/>
          <w:szCs w:val="24"/>
          <w:lang w:val="en-US"/>
        </w:rPr>
        <w:cr/>
      </w:r>
      <w:proofErr w:type="gramStart"/>
      <w:r w:rsidRPr="00DF0624">
        <w:rPr>
          <w:rFonts w:ascii="Bookman Old Style" w:hAnsi="Bookman Old Style"/>
          <w:bCs/>
          <w:sz w:val="24"/>
          <w:szCs w:val="24"/>
          <w:lang w:val="en-US"/>
        </w:rPr>
        <w:t xml:space="preserve">Directorate of </w:t>
      </w:r>
      <w:r w:rsidR="00FA6AA6">
        <w:rPr>
          <w:rFonts w:ascii="Bookman Old Style" w:hAnsi="Bookman Old Style"/>
          <w:bCs/>
          <w:sz w:val="24"/>
          <w:szCs w:val="24"/>
          <w:lang w:val="en-US"/>
        </w:rPr>
        <w:t xml:space="preserve">Academics, </w:t>
      </w:r>
      <w:r w:rsidRPr="00DF0624">
        <w:rPr>
          <w:rFonts w:ascii="Bookman Old Style" w:hAnsi="Bookman Old Style"/>
          <w:bCs/>
          <w:sz w:val="24"/>
          <w:szCs w:val="24"/>
          <w:lang w:val="en-US"/>
        </w:rPr>
        <w:t>Professional Development</w:t>
      </w:r>
      <w:r w:rsidR="00FA6AA6">
        <w:rPr>
          <w:rFonts w:ascii="Bookman Old Style" w:hAnsi="Bookman Old Style"/>
          <w:bCs/>
          <w:sz w:val="24"/>
          <w:szCs w:val="24"/>
          <w:lang w:val="en-US"/>
        </w:rPr>
        <w:t xml:space="preserve"> &amp; Perspective Planning</w:t>
      </w:r>
      <w:r w:rsidRPr="00DF0624">
        <w:rPr>
          <w:rFonts w:ascii="Bookman Old Style" w:hAnsi="Bookman Old Style"/>
          <w:bCs/>
          <w:sz w:val="24"/>
          <w:szCs w:val="24"/>
          <w:lang w:val="en-US"/>
        </w:rPr>
        <w:t>, ICSI.</w:t>
      </w:r>
      <w:proofErr w:type="gramEnd"/>
      <w:r w:rsidRPr="00DF0624">
        <w:rPr>
          <w:rFonts w:ascii="Bookman Old Style" w:hAnsi="Bookman Old Style"/>
          <w:bCs/>
          <w:sz w:val="24"/>
          <w:szCs w:val="24"/>
          <w:lang w:val="en-US"/>
        </w:rPr>
        <w:t xml:space="preserve"> Email:  </w:t>
      </w:r>
      <w:hyperlink r:id="rId23" w:history="1">
        <w:r w:rsidR="00F81ABC" w:rsidRPr="00F81ABC">
          <w:rPr>
            <w:rStyle w:val="Hyperlink"/>
            <w:rFonts w:ascii="Bookman Old Style" w:hAnsi="Bookman Old Style"/>
            <w:bCs/>
            <w:color w:val="FF0000"/>
            <w:sz w:val="24"/>
            <w:szCs w:val="24"/>
            <w:lang w:val="en-US"/>
          </w:rPr>
          <w:t>csupdate@icsi.edu</w:t>
        </w:r>
      </w:hyperlink>
      <w:r w:rsidR="00F81ABC">
        <w:rPr>
          <w:rFonts w:ascii="Bookman Old Style" w:hAnsi="Bookman Old Style"/>
          <w:bCs/>
          <w:sz w:val="24"/>
          <w:szCs w:val="24"/>
          <w:lang w:val="en-US"/>
        </w:rPr>
        <w:t xml:space="preserve"> </w:t>
      </w:r>
    </w:p>
    <w:sectPr w:rsidR="00295F28" w:rsidRPr="00605956" w:rsidSect="005D4D08">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358"/>
    <w:multiLevelType w:val="hybridMultilevel"/>
    <w:tmpl w:val="043A8520"/>
    <w:lvl w:ilvl="0" w:tplc="160E8BCE">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005903"/>
    <w:multiLevelType w:val="hybridMultilevel"/>
    <w:tmpl w:val="2A961548"/>
    <w:lvl w:ilvl="0" w:tplc="C9CE9902">
      <w:start w:val="1"/>
      <w:numFmt w:val="bullet"/>
      <w:lvlText w:val="•"/>
      <w:lvlJc w:val="left"/>
      <w:pPr>
        <w:tabs>
          <w:tab w:val="num" w:pos="720"/>
        </w:tabs>
        <w:ind w:left="720" w:hanging="360"/>
      </w:pPr>
      <w:rPr>
        <w:rFonts w:ascii="Times New Roman" w:hAnsi="Times New Roman" w:hint="default"/>
      </w:rPr>
    </w:lvl>
    <w:lvl w:ilvl="1" w:tplc="7E841984" w:tentative="1">
      <w:start w:val="1"/>
      <w:numFmt w:val="bullet"/>
      <w:lvlText w:val="•"/>
      <w:lvlJc w:val="left"/>
      <w:pPr>
        <w:tabs>
          <w:tab w:val="num" w:pos="1440"/>
        </w:tabs>
        <w:ind w:left="1440" w:hanging="360"/>
      </w:pPr>
      <w:rPr>
        <w:rFonts w:ascii="Times New Roman" w:hAnsi="Times New Roman" w:hint="default"/>
      </w:rPr>
    </w:lvl>
    <w:lvl w:ilvl="2" w:tplc="362E0834" w:tentative="1">
      <w:start w:val="1"/>
      <w:numFmt w:val="bullet"/>
      <w:lvlText w:val="•"/>
      <w:lvlJc w:val="left"/>
      <w:pPr>
        <w:tabs>
          <w:tab w:val="num" w:pos="2160"/>
        </w:tabs>
        <w:ind w:left="2160" w:hanging="360"/>
      </w:pPr>
      <w:rPr>
        <w:rFonts w:ascii="Times New Roman" w:hAnsi="Times New Roman" w:hint="default"/>
      </w:rPr>
    </w:lvl>
    <w:lvl w:ilvl="3" w:tplc="22AEC022" w:tentative="1">
      <w:start w:val="1"/>
      <w:numFmt w:val="bullet"/>
      <w:lvlText w:val="•"/>
      <w:lvlJc w:val="left"/>
      <w:pPr>
        <w:tabs>
          <w:tab w:val="num" w:pos="2880"/>
        </w:tabs>
        <w:ind w:left="2880" w:hanging="360"/>
      </w:pPr>
      <w:rPr>
        <w:rFonts w:ascii="Times New Roman" w:hAnsi="Times New Roman" w:hint="default"/>
      </w:rPr>
    </w:lvl>
    <w:lvl w:ilvl="4" w:tplc="587C1982" w:tentative="1">
      <w:start w:val="1"/>
      <w:numFmt w:val="bullet"/>
      <w:lvlText w:val="•"/>
      <w:lvlJc w:val="left"/>
      <w:pPr>
        <w:tabs>
          <w:tab w:val="num" w:pos="3600"/>
        </w:tabs>
        <w:ind w:left="3600" w:hanging="360"/>
      </w:pPr>
      <w:rPr>
        <w:rFonts w:ascii="Times New Roman" w:hAnsi="Times New Roman" w:hint="default"/>
      </w:rPr>
    </w:lvl>
    <w:lvl w:ilvl="5" w:tplc="F74E1344" w:tentative="1">
      <w:start w:val="1"/>
      <w:numFmt w:val="bullet"/>
      <w:lvlText w:val="•"/>
      <w:lvlJc w:val="left"/>
      <w:pPr>
        <w:tabs>
          <w:tab w:val="num" w:pos="4320"/>
        </w:tabs>
        <w:ind w:left="4320" w:hanging="360"/>
      </w:pPr>
      <w:rPr>
        <w:rFonts w:ascii="Times New Roman" w:hAnsi="Times New Roman" w:hint="default"/>
      </w:rPr>
    </w:lvl>
    <w:lvl w:ilvl="6" w:tplc="9D66D0B0" w:tentative="1">
      <w:start w:val="1"/>
      <w:numFmt w:val="bullet"/>
      <w:lvlText w:val="•"/>
      <w:lvlJc w:val="left"/>
      <w:pPr>
        <w:tabs>
          <w:tab w:val="num" w:pos="5040"/>
        </w:tabs>
        <w:ind w:left="5040" w:hanging="360"/>
      </w:pPr>
      <w:rPr>
        <w:rFonts w:ascii="Times New Roman" w:hAnsi="Times New Roman" w:hint="default"/>
      </w:rPr>
    </w:lvl>
    <w:lvl w:ilvl="7" w:tplc="9C3E9AF4" w:tentative="1">
      <w:start w:val="1"/>
      <w:numFmt w:val="bullet"/>
      <w:lvlText w:val="•"/>
      <w:lvlJc w:val="left"/>
      <w:pPr>
        <w:tabs>
          <w:tab w:val="num" w:pos="5760"/>
        </w:tabs>
        <w:ind w:left="5760" w:hanging="360"/>
      </w:pPr>
      <w:rPr>
        <w:rFonts w:ascii="Times New Roman" w:hAnsi="Times New Roman" w:hint="default"/>
      </w:rPr>
    </w:lvl>
    <w:lvl w:ilvl="8" w:tplc="315287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3109FA"/>
    <w:multiLevelType w:val="hybridMultilevel"/>
    <w:tmpl w:val="B450EBF8"/>
    <w:lvl w:ilvl="0" w:tplc="20781E10">
      <w:start w:val="1"/>
      <w:numFmt w:val="bullet"/>
      <w:lvlText w:val="•"/>
      <w:lvlJc w:val="left"/>
      <w:pPr>
        <w:tabs>
          <w:tab w:val="num" w:pos="720"/>
        </w:tabs>
        <w:ind w:left="720" w:hanging="360"/>
      </w:pPr>
      <w:rPr>
        <w:rFonts w:ascii="Times New Roman" w:hAnsi="Times New Roman" w:hint="default"/>
      </w:rPr>
    </w:lvl>
    <w:lvl w:ilvl="1" w:tplc="A0C41A26" w:tentative="1">
      <w:start w:val="1"/>
      <w:numFmt w:val="bullet"/>
      <w:lvlText w:val="•"/>
      <w:lvlJc w:val="left"/>
      <w:pPr>
        <w:tabs>
          <w:tab w:val="num" w:pos="1440"/>
        </w:tabs>
        <w:ind w:left="1440" w:hanging="360"/>
      </w:pPr>
      <w:rPr>
        <w:rFonts w:ascii="Times New Roman" w:hAnsi="Times New Roman" w:hint="default"/>
      </w:rPr>
    </w:lvl>
    <w:lvl w:ilvl="2" w:tplc="A7AC180A" w:tentative="1">
      <w:start w:val="1"/>
      <w:numFmt w:val="bullet"/>
      <w:lvlText w:val="•"/>
      <w:lvlJc w:val="left"/>
      <w:pPr>
        <w:tabs>
          <w:tab w:val="num" w:pos="2160"/>
        </w:tabs>
        <w:ind w:left="2160" w:hanging="360"/>
      </w:pPr>
      <w:rPr>
        <w:rFonts w:ascii="Times New Roman" w:hAnsi="Times New Roman" w:hint="default"/>
      </w:rPr>
    </w:lvl>
    <w:lvl w:ilvl="3" w:tplc="B2D41E7A" w:tentative="1">
      <w:start w:val="1"/>
      <w:numFmt w:val="bullet"/>
      <w:lvlText w:val="•"/>
      <w:lvlJc w:val="left"/>
      <w:pPr>
        <w:tabs>
          <w:tab w:val="num" w:pos="2880"/>
        </w:tabs>
        <w:ind w:left="2880" w:hanging="360"/>
      </w:pPr>
      <w:rPr>
        <w:rFonts w:ascii="Times New Roman" w:hAnsi="Times New Roman" w:hint="default"/>
      </w:rPr>
    </w:lvl>
    <w:lvl w:ilvl="4" w:tplc="7BD62E74" w:tentative="1">
      <w:start w:val="1"/>
      <w:numFmt w:val="bullet"/>
      <w:lvlText w:val="•"/>
      <w:lvlJc w:val="left"/>
      <w:pPr>
        <w:tabs>
          <w:tab w:val="num" w:pos="3600"/>
        </w:tabs>
        <w:ind w:left="3600" w:hanging="360"/>
      </w:pPr>
      <w:rPr>
        <w:rFonts w:ascii="Times New Roman" w:hAnsi="Times New Roman" w:hint="default"/>
      </w:rPr>
    </w:lvl>
    <w:lvl w:ilvl="5" w:tplc="6F244D28" w:tentative="1">
      <w:start w:val="1"/>
      <w:numFmt w:val="bullet"/>
      <w:lvlText w:val="•"/>
      <w:lvlJc w:val="left"/>
      <w:pPr>
        <w:tabs>
          <w:tab w:val="num" w:pos="4320"/>
        </w:tabs>
        <w:ind w:left="4320" w:hanging="360"/>
      </w:pPr>
      <w:rPr>
        <w:rFonts w:ascii="Times New Roman" w:hAnsi="Times New Roman" w:hint="default"/>
      </w:rPr>
    </w:lvl>
    <w:lvl w:ilvl="6" w:tplc="755CBFC0" w:tentative="1">
      <w:start w:val="1"/>
      <w:numFmt w:val="bullet"/>
      <w:lvlText w:val="•"/>
      <w:lvlJc w:val="left"/>
      <w:pPr>
        <w:tabs>
          <w:tab w:val="num" w:pos="5040"/>
        </w:tabs>
        <w:ind w:left="5040" w:hanging="360"/>
      </w:pPr>
      <w:rPr>
        <w:rFonts w:ascii="Times New Roman" w:hAnsi="Times New Roman" w:hint="default"/>
      </w:rPr>
    </w:lvl>
    <w:lvl w:ilvl="7" w:tplc="BB183552" w:tentative="1">
      <w:start w:val="1"/>
      <w:numFmt w:val="bullet"/>
      <w:lvlText w:val="•"/>
      <w:lvlJc w:val="left"/>
      <w:pPr>
        <w:tabs>
          <w:tab w:val="num" w:pos="5760"/>
        </w:tabs>
        <w:ind w:left="5760" w:hanging="360"/>
      </w:pPr>
      <w:rPr>
        <w:rFonts w:ascii="Times New Roman" w:hAnsi="Times New Roman" w:hint="default"/>
      </w:rPr>
    </w:lvl>
    <w:lvl w:ilvl="8" w:tplc="D1FC65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085C50"/>
    <w:multiLevelType w:val="hybridMultilevel"/>
    <w:tmpl w:val="98765446"/>
    <w:lvl w:ilvl="0" w:tplc="4FC47B60">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DA6E9B"/>
    <w:multiLevelType w:val="hybridMultilevel"/>
    <w:tmpl w:val="104C8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ED25D5"/>
    <w:multiLevelType w:val="hybridMultilevel"/>
    <w:tmpl w:val="20363BFC"/>
    <w:lvl w:ilvl="0" w:tplc="84A2A796">
      <w:start w:val="1"/>
      <w:numFmt w:val="bullet"/>
      <w:lvlText w:val="•"/>
      <w:lvlJc w:val="left"/>
      <w:pPr>
        <w:tabs>
          <w:tab w:val="num" w:pos="720"/>
        </w:tabs>
        <w:ind w:left="720" w:hanging="360"/>
      </w:pPr>
      <w:rPr>
        <w:rFonts w:ascii="Times New Roman" w:hAnsi="Times New Roman" w:hint="default"/>
      </w:rPr>
    </w:lvl>
    <w:lvl w:ilvl="1" w:tplc="BAFE2B58" w:tentative="1">
      <w:start w:val="1"/>
      <w:numFmt w:val="bullet"/>
      <w:lvlText w:val="•"/>
      <w:lvlJc w:val="left"/>
      <w:pPr>
        <w:tabs>
          <w:tab w:val="num" w:pos="1440"/>
        </w:tabs>
        <w:ind w:left="1440" w:hanging="360"/>
      </w:pPr>
      <w:rPr>
        <w:rFonts w:ascii="Times New Roman" w:hAnsi="Times New Roman" w:hint="default"/>
      </w:rPr>
    </w:lvl>
    <w:lvl w:ilvl="2" w:tplc="3E0A62F0" w:tentative="1">
      <w:start w:val="1"/>
      <w:numFmt w:val="bullet"/>
      <w:lvlText w:val="•"/>
      <w:lvlJc w:val="left"/>
      <w:pPr>
        <w:tabs>
          <w:tab w:val="num" w:pos="2160"/>
        </w:tabs>
        <w:ind w:left="2160" w:hanging="360"/>
      </w:pPr>
      <w:rPr>
        <w:rFonts w:ascii="Times New Roman" w:hAnsi="Times New Roman" w:hint="default"/>
      </w:rPr>
    </w:lvl>
    <w:lvl w:ilvl="3" w:tplc="F9001A58" w:tentative="1">
      <w:start w:val="1"/>
      <w:numFmt w:val="bullet"/>
      <w:lvlText w:val="•"/>
      <w:lvlJc w:val="left"/>
      <w:pPr>
        <w:tabs>
          <w:tab w:val="num" w:pos="2880"/>
        </w:tabs>
        <w:ind w:left="2880" w:hanging="360"/>
      </w:pPr>
      <w:rPr>
        <w:rFonts w:ascii="Times New Roman" w:hAnsi="Times New Roman" w:hint="default"/>
      </w:rPr>
    </w:lvl>
    <w:lvl w:ilvl="4" w:tplc="E97E31C8" w:tentative="1">
      <w:start w:val="1"/>
      <w:numFmt w:val="bullet"/>
      <w:lvlText w:val="•"/>
      <w:lvlJc w:val="left"/>
      <w:pPr>
        <w:tabs>
          <w:tab w:val="num" w:pos="3600"/>
        </w:tabs>
        <w:ind w:left="3600" w:hanging="360"/>
      </w:pPr>
      <w:rPr>
        <w:rFonts w:ascii="Times New Roman" w:hAnsi="Times New Roman" w:hint="default"/>
      </w:rPr>
    </w:lvl>
    <w:lvl w:ilvl="5" w:tplc="0FF8E58C" w:tentative="1">
      <w:start w:val="1"/>
      <w:numFmt w:val="bullet"/>
      <w:lvlText w:val="•"/>
      <w:lvlJc w:val="left"/>
      <w:pPr>
        <w:tabs>
          <w:tab w:val="num" w:pos="4320"/>
        </w:tabs>
        <w:ind w:left="4320" w:hanging="360"/>
      </w:pPr>
      <w:rPr>
        <w:rFonts w:ascii="Times New Roman" w:hAnsi="Times New Roman" w:hint="default"/>
      </w:rPr>
    </w:lvl>
    <w:lvl w:ilvl="6" w:tplc="B284F992" w:tentative="1">
      <w:start w:val="1"/>
      <w:numFmt w:val="bullet"/>
      <w:lvlText w:val="•"/>
      <w:lvlJc w:val="left"/>
      <w:pPr>
        <w:tabs>
          <w:tab w:val="num" w:pos="5040"/>
        </w:tabs>
        <w:ind w:left="5040" w:hanging="360"/>
      </w:pPr>
      <w:rPr>
        <w:rFonts w:ascii="Times New Roman" w:hAnsi="Times New Roman" w:hint="default"/>
      </w:rPr>
    </w:lvl>
    <w:lvl w:ilvl="7" w:tplc="15968A0A" w:tentative="1">
      <w:start w:val="1"/>
      <w:numFmt w:val="bullet"/>
      <w:lvlText w:val="•"/>
      <w:lvlJc w:val="left"/>
      <w:pPr>
        <w:tabs>
          <w:tab w:val="num" w:pos="5760"/>
        </w:tabs>
        <w:ind w:left="5760" w:hanging="360"/>
      </w:pPr>
      <w:rPr>
        <w:rFonts w:ascii="Times New Roman" w:hAnsi="Times New Roman" w:hint="default"/>
      </w:rPr>
    </w:lvl>
    <w:lvl w:ilvl="8" w:tplc="13C278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8832460"/>
    <w:multiLevelType w:val="hybridMultilevel"/>
    <w:tmpl w:val="E354AA38"/>
    <w:lvl w:ilvl="0" w:tplc="A11C2AD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9544D6E"/>
    <w:multiLevelType w:val="hybridMultilevel"/>
    <w:tmpl w:val="61685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B3574EF"/>
    <w:multiLevelType w:val="hybridMultilevel"/>
    <w:tmpl w:val="9BB2A23A"/>
    <w:lvl w:ilvl="0" w:tplc="079081A8">
      <w:start w:val="1"/>
      <w:numFmt w:val="bullet"/>
      <w:lvlText w:val="•"/>
      <w:lvlJc w:val="left"/>
      <w:pPr>
        <w:tabs>
          <w:tab w:val="num" w:pos="720"/>
        </w:tabs>
        <w:ind w:left="720" w:hanging="360"/>
      </w:pPr>
      <w:rPr>
        <w:rFonts w:ascii="Times New Roman" w:hAnsi="Times New Roman" w:hint="default"/>
      </w:rPr>
    </w:lvl>
    <w:lvl w:ilvl="1" w:tplc="A1EC6556" w:tentative="1">
      <w:start w:val="1"/>
      <w:numFmt w:val="bullet"/>
      <w:lvlText w:val="•"/>
      <w:lvlJc w:val="left"/>
      <w:pPr>
        <w:tabs>
          <w:tab w:val="num" w:pos="1440"/>
        </w:tabs>
        <w:ind w:left="1440" w:hanging="360"/>
      </w:pPr>
      <w:rPr>
        <w:rFonts w:ascii="Times New Roman" w:hAnsi="Times New Roman" w:hint="default"/>
      </w:rPr>
    </w:lvl>
    <w:lvl w:ilvl="2" w:tplc="1B2CAAD4" w:tentative="1">
      <w:start w:val="1"/>
      <w:numFmt w:val="bullet"/>
      <w:lvlText w:val="•"/>
      <w:lvlJc w:val="left"/>
      <w:pPr>
        <w:tabs>
          <w:tab w:val="num" w:pos="2160"/>
        </w:tabs>
        <w:ind w:left="2160" w:hanging="360"/>
      </w:pPr>
      <w:rPr>
        <w:rFonts w:ascii="Times New Roman" w:hAnsi="Times New Roman" w:hint="default"/>
      </w:rPr>
    </w:lvl>
    <w:lvl w:ilvl="3" w:tplc="3294AFFA" w:tentative="1">
      <w:start w:val="1"/>
      <w:numFmt w:val="bullet"/>
      <w:lvlText w:val="•"/>
      <w:lvlJc w:val="left"/>
      <w:pPr>
        <w:tabs>
          <w:tab w:val="num" w:pos="2880"/>
        </w:tabs>
        <w:ind w:left="2880" w:hanging="360"/>
      </w:pPr>
      <w:rPr>
        <w:rFonts w:ascii="Times New Roman" w:hAnsi="Times New Roman" w:hint="default"/>
      </w:rPr>
    </w:lvl>
    <w:lvl w:ilvl="4" w:tplc="BD0879CA" w:tentative="1">
      <w:start w:val="1"/>
      <w:numFmt w:val="bullet"/>
      <w:lvlText w:val="•"/>
      <w:lvlJc w:val="left"/>
      <w:pPr>
        <w:tabs>
          <w:tab w:val="num" w:pos="3600"/>
        </w:tabs>
        <w:ind w:left="3600" w:hanging="360"/>
      </w:pPr>
      <w:rPr>
        <w:rFonts w:ascii="Times New Roman" w:hAnsi="Times New Roman" w:hint="default"/>
      </w:rPr>
    </w:lvl>
    <w:lvl w:ilvl="5" w:tplc="C21EADEE" w:tentative="1">
      <w:start w:val="1"/>
      <w:numFmt w:val="bullet"/>
      <w:lvlText w:val="•"/>
      <w:lvlJc w:val="left"/>
      <w:pPr>
        <w:tabs>
          <w:tab w:val="num" w:pos="4320"/>
        </w:tabs>
        <w:ind w:left="4320" w:hanging="360"/>
      </w:pPr>
      <w:rPr>
        <w:rFonts w:ascii="Times New Roman" w:hAnsi="Times New Roman" w:hint="default"/>
      </w:rPr>
    </w:lvl>
    <w:lvl w:ilvl="6" w:tplc="295E5F6A" w:tentative="1">
      <w:start w:val="1"/>
      <w:numFmt w:val="bullet"/>
      <w:lvlText w:val="•"/>
      <w:lvlJc w:val="left"/>
      <w:pPr>
        <w:tabs>
          <w:tab w:val="num" w:pos="5040"/>
        </w:tabs>
        <w:ind w:left="5040" w:hanging="360"/>
      </w:pPr>
      <w:rPr>
        <w:rFonts w:ascii="Times New Roman" w:hAnsi="Times New Roman" w:hint="default"/>
      </w:rPr>
    </w:lvl>
    <w:lvl w:ilvl="7" w:tplc="F9FE0E7C" w:tentative="1">
      <w:start w:val="1"/>
      <w:numFmt w:val="bullet"/>
      <w:lvlText w:val="•"/>
      <w:lvlJc w:val="left"/>
      <w:pPr>
        <w:tabs>
          <w:tab w:val="num" w:pos="5760"/>
        </w:tabs>
        <w:ind w:left="5760" w:hanging="360"/>
      </w:pPr>
      <w:rPr>
        <w:rFonts w:ascii="Times New Roman" w:hAnsi="Times New Roman" w:hint="default"/>
      </w:rPr>
    </w:lvl>
    <w:lvl w:ilvl="8" w:tplc="EA4290A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9"/>
  </w:num>
  <w:num w:numId="4">
    <w:abstractNumId w:val="1"/>
  </w:num>
  <w:num w:numId="5">
    <w:abstractNumId w:val="5"/>
  </w:num>
  <w:num w:numId="6">
    <w:abstractNumId w:val="0"/>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EF50A6"/>
    <w:rsid w:val="00000356"/>
    <w:rsid w:val="000049CF"/>
    <w:rsid w:val="00007353"/>
    <w:rsid w:val="000133F2"/>
    <w:rsid w:val="0002146A"/>
    <w:rsid w:val="00034453"/>
    <w:rsid w:val="00035D73"/>
    <w:rsid w:val="00043F7B"/>
    <w:rsid w:val="00045137"/>
    <w:rsid w:val="00045343"/>
    <w:rsid w:val="0005088E"/>
    <w:rsid w:val="0008190B"/>
    <w:rsid w:val="000844AE"/>
    <w:rsid w:val="000956CA"/>
    <w:rsid w:val="000A370F"/>
    <w:rsid w:val="000B14CA"/>
    <w:rsid w:val="000B4877"/>
    <w:rsid w:val="000B74E1"/>
    <w:rsid w:val="000D07A3"/>
    <w:rsid w:val="000D0D6E"/>
    <w:rsid w:val="000E6676"/>
    <w:rsid w:val="000E7FAD"/>
    <w:rsid w:val="000F065D"/>
    <w:rsid w:val="000F1B85"/>
    <w:rsid w:val="0011494B"/>
    <w:rsid w:val="0011579B"/>
    <w:rsid w:val="00120CDE"/>
    <w:rsid w:val="00120FA8"/>
    <w:rsid w:val="001229ED"/>
    <w:rsid w:val="00132074"/>
    <w:rsid w:val="0013469F"/>
    <w:rsid w:val="00140DFE"/>
    <w:rsid w:val="001427BE"/>
    <w:rsid w:val="001556EB"/>
    <w:rsid w:val="00167E1C"/>
    <w:rsid w:val="001852E9"/>
    <w:rsid w:val="00186ABB"/>
    <w:rsid w:val="001A1E05"/>
    <w:rsid w:val="001A6188"/>
    <w:rsid w:val="001B1139"/>
    <w:rsid w:val="001B49AD"/>
    <w:rsid w:val="00206AC0"/>
    <w:rsid w:val="00211BB7"/>
    <w:rsid w:val="00221EB8"/>
    <w:rsid w:val="002355D8"/>
    <w:rsid w:val="00242521"/>
    <w:rsid w:val="00244BAB"/>
    <w:rsid w:val="002453E7"/>
    <w:rsid w:val="002517DB"/>
    <w:rsid w:val="0026138E"/>
    <w:rsid w:val="002738D3"/>
    <w:rsid w:val="00274C7B"/>
    <w:rsid w:val="00292E60"/>
    <w:rsid w:val="00295070"/>
    <w:rsid w:val="00295435"/>
    <w:rsid w:val="00295F28"/>
    <w:rsid w:val="002B5A46"/>
    <w:rsid w:val="002B6D91"/>
    <w:rsid w:val="002C2CA6"/>
    <w:rsid w:val="002D39A7"/>
    <w:rsid w:val="002F1C48"/>
    <w:rsid w:val="002F2E93"/>
    <w:rsid w:val="002F3819"/>
    <w:rsid w:val="002F5DA7"/>
    <w:rsid w:val="002F6FB2"/>
    <w:rsid w:val="00300865"/>
    <w:rsid w:val="00312A8A"/>
    <w:rsid w:val="003151F1"/>
    <w:rsid w:val="0031739E"/>
    <w:rsid w:val="00335367"/>
    <w:rsid w:val="003356D8"/>
    <w:rsid w:val="00337F45"/>
    <w:rsid w:val="00342E62"/>
    <w:rsid w:val="00361C66"/>
    <w:rsid w:val="00363B3B"/>
    <w:rsid w:val="00367137"/>
    <w:rsid w:val="00374633"/>
    <w:rsid w:val="00392A85"/>
    <w:rsid w:val="00396B60"/>
    <w:rsid w:val="00397CCB"/>
    <w:rsid w:val="003A0373"/>
    <w:rsid w:val="003A27E2"/>
    <w:rsid w:val="003D3B55"/>
    <w:rsid w:val="003D7A73"/>
    <w:rsid w:val="003E2DE2"/>
    <w:rsid w:val="003E3AD0"/>
    <w:rsid w:val="003E5C08"/>
    <w:rsid w:val="00410DA6"/>
    <w:rsid w:val="00414935"/>
    <w:rsid w:val="00417AEA"/>
    <w:rsid w:val="004227AA"/>
    <w:rsid w:val="00427D48"/>
    <w:rsid w:val="004404A0"/>
    <w:rsid w:val="00465D84"/>
    <w:rsid w:val="00467299"/>
    <w:rsid w:val="00480CDD"/>
    <w:rsid w:val="00483112"/>
    <w:rsid w:val="00493731"/>
    <w:rsid w:val="004A2AE9"/>
    <w:rsid w:val="004A5A65"/>
    <w:rsid w:val="004B379B"/>
    <w:rsid w:val="004C41EA"/>
    <w:rsid w:val="004D3CD5"/>
    <w:rsid w:val="004E2F76"/>
    <w:rsid w:val="005003CB"/>
    <w:rsid w:val="00510392"/>
    <w:rsid w:val="00511DAF"/>
    <w:rsid w:val="0052563D"/>
    <w:rsid w:val="005266D4"/>
    <w:rsid w:val="005430EF"/>
    <w:rsid w:val="00547020"/>
    <w:rsid w:val="005642BD"/>
    <w:rsid w:val="00567AD0"/>
    <w:rsid w:val="00571FA7"/>
    <w:rsid w:val="005853F9"/>
    <w:rsid w:val="005B140A"/>
    <w:rsid w:val="005D4D08"/>
    <w:rsid w:val="005D6A0D"/>
    <w:rsid w:val="005D79DA"/>
    <w:rsid w:val="005E4BFF"/>
    <w:rsid w:val="005E6F72"/>
    <w:rsid w:val="00603EEA"/>
    <w:rsid w:val="00605956"/>
    <w:rsid w:val="006123F4"/>
    <w:rsid w:val="0061732C"/>
    <w:rsid w:val="00624E0E"/>
    <w:rsid w:val="006726A6"/>
    <w:rsid w:val="006814F9"/>
    <w:rsid w:val="006840F8"/>
    <w:rsid w:val="00691DC4"/>
    <w:rsid w:val="006977E6"/>
    <w:rsid w:val="006A5D5A"/>
    <w:rsid w:val="006A72D0"/>
    <w:rsid w:val="006C40C2"/>
    <w:rsid w:val="006D0CC4"/>
    <w:rsid w:val="006F1EA3"/>
    <w:rsid w:val="006F737B"/>
    <w:rsid w:val="00700674"/>
    <w:rsid w:val="0070445B"/>
    <w:rsid w:val="0071338F"/>
    <w:rsid w:val="0074118E"/>
    <w:rsid w:val="00752D96"/>
    <w:rsid w:val="00755BDB"/>
    <w:rsid w:val="00755FA2"/>
    <w:rsid w:val="00763762"/>
    <w:rsid w:val="0076484C"/>
    <w:rsid w:val="00764CC9"/>
    <w:rsid w:val="007660DA"/>
    <w:rsid w:val="00784CB1"/>
    <w:rsid w:val="00787C68"/>
    <w:rsid w:val="007902D9"/>
    <w:rsid w:val="007A3C3F"/>
    <w:rsid w:val="007C1B91"/>
    <w:rsid w:val="007D0AD5"/>
    <w:rsid w:val="007D76CF"/>
    <w:rsid w:val="007D77EC"/>
    <w:rsid w:val="007D7896"/>
    <w:rsid w:val="007F0E54"/>
    <w:rsid w:val="007F107B"/>
    <w:rsid w:val="007F18EC"/>
    <w:rsid w:val="007F7848"/>
    <w:rsid w:val="008061FF"/>
    <w:rsid w:val="00810540"/>
    <w:rsid w:val="0082411B"/>
    <w:rsid w:val="0083550B"/>
    <w:rsid w:val="00841744"/>
    <w:rsid w:val="0085187D"/>
    <w:rsid w:val="008536EB"/>
    <w:rsid w:val="008630F2"/>
    <w:rsid w:val="00895D8C"/>
    <w:rsid w:val="008C006C"/>
    <w:rsid w:val="008C4735"/>
    <w:rsid w:val="008C66EF"/>
    <w:rsid w:val="008C688D"/>
    <w:rsid w:val="008D50ED"/>
    <w:rsid w:val="008D5C45"/>
    <w:rsid w:val="008E6A4A"/>
    <w:rsid w:val="008F481D"/>
    <w:rsid w:val="0090082B"/>
    <w:rsid w:val="009042DF"/>
    <w:rsid w:val="009243D6"/>
    <w:rsid w:val="00960719"/>
    <w:rsid w:val="00960800"/>
    <w:rsid w:val="00990DC0"/>
    <w:rsid w:val="0099167C"/>
    <w:rsid w:val="0099363D"/>
    <w:rsid w:val="009A6D86"/>
    <w:rsid w:val="009A7DA8"/>
    <w:rsid w:val="009B05D5"/>
    <w:rsid w:val="009B3A84"/>
    <w:rsid w:val="009D0C1B"/>
    <w:rsid w:val="009D1EDE"/>
    <w:rsid w:val="009E353D"/>
    <w:rsid w:val="009E5742"/>
    <w:rsid w:val="009F32CE"/>
    <w:rsid w:val="009F57C1"/>
    <w:rsid w:val="009F624E"/>
    <w:rsid w:val="009F6A31"/>
    <w:rsid w:val="009F7828"/>
    <w:rsid w:val="00A04E50"/>
    <w:rsid w:val="00A13995"/>
    <w:rsid w:val="00A1513B"/>
    <w:rsid w:val="00A17599"/>
    <w:rsid w:val="00A22C0E"/>
    <w:rsid w:val="00A23555"/>
    <w:rsid w:val="00A33C61"/>
    <w:rsid w:val="00A53C84"/>
    <w:rsid w:val="00A610F1"/>
    <w:rsid w:val="00A6236A"/>
    <w:rsid w:val="00A80F01"/>
    <w:rsid w:val="00A84F97"/>
    <w:rsid w:val="00A90329"/>
    <w:rsid w:val="00A94CF9"/>
    <w:rsid w:val="00AB207A"/>
    <w:rsid w:val="00AC2144"/>
    <w:rsid w:val="00AC5423"/>
    <w:rsid w:val="00AD26D0"/>
    <w:rsid w:val="00B00466"/>
    <w:rsid w:val="00B05ECC"/>
    <w:rsid w:val="00B17B93"/>
    <w:rsid w:val="00B35FB1"/>
    <w:rsid w:val="00B4059E"/>
    <w:rsid w:val="00B44531"/>
    <w:rsid w:val="00B45E06"/>
    <w:rsid w:val="00B47F29"/>
    <w:rsid w:val="00B63F89"/>
    <w:rsid w:val="00B73F95"/>
    <w:rsid w:val="00B75179"/>
    <w:rsid w:val="00B75F86"/>
    <w:rsid w:val="00BA45C3"/>
    <w:rsid w:val="00BF02E0"/>
    <w:rsid w:val="00C02CB0"/>
    <w:rsid w:val="00C051A8"/>
    <w:rsid w:val="00C06EE9"/>
    <w:rsid w:val="00C119ED"/>
    <w:rsid w:val="00C176C1"/>
    <w:rsid w:val="00C30F36"/>
    <w:rsid w:val="00C35492"/>
    <w:rsid w:val="00C368D2"/>
    <w:rsid w:val="00C36BC0"/>
    <w:rsid w:val="00C46424"/>
    <w:rsid w:val="00C7200F"/>
    <w:rsid w:val="00C918C3"/>
    <w:rsid w:val="00C9642A"/>
    <w:rsid w:val="00C972D1"/>
    <w:rsid w:val="00CA49A5"/>
    <w:rsid w:val="00CB5D23"/>
    <w:rsid w:val="00CD0213"/>
    <w:rsid w:val="00CD3930"/>
    <w:rsid w:val="00CD708D"/>
    <w:rsid w:val="00CF04DC"/>
    <w:rsid w:val="00CF172F"/>
    <w:rsid w:val="00CF64DA"/>
    <w:rsid w:val="00D07031"/>
    <w:rsid w:val="00D130FC"/>
    <w:rsid w:val="00D17EFA"/>
    <w:rsid w:val="00D37BD9"/>
    <w:rsid w:val="00D470A4"/>
    <w:rsid w:val="00D61EC7"/>
    <w:rsid w:val="00D629D0"/>
    <w:rsid w:val="00D757E5"/>
    <w:rsid w:val="00D77946"/>
    <w:rsid w:val="00D84D10"/>
    <w:rsid w:val="00D92B24"/>
    <w:rsid w:val="00DC4EF2"/>
    <w:rsid w:val="00DD5C29"/>
    <w:rsid w:val="00DE2361"/>
    <w:rsid w:val="00DE50CA"/>
    <w:rsid w:val="00DE7760"/>
    <w:rsid w:val="00DF0624"/>
    <w:rsid w:val="00DF3F74"/>
    <w:rsid w:val="00E03DB5"/>
    <w:rsid w:val="00E11310"/>
    <w:rsid w:val="00E179D5"/>
    <w:rsid w:val="00E2289E"/>
    <w:rsid w:val="00E25B5D"/>
    <w:rsid w:val="00E52D55"/>
    <w:rsid w:val="00E53609"/>
    <w:rsid w:val="00E55412"/>
    <w:rsid w:val="00E64D60"/>
    <w:rsid w:val="00E64E63"/>
    <w:rsid w:val="00E72AE4"/>
    <w:rsid w:val="00E736D4"/>
    <w:rsid w:val="00E83D87"/>
    <w:rsid w:val="00E8414D"/>
    <w:rsid w:val="00E8624A"/>
    <w:rsid w:val="00E9779B"/>
    <w:rsid w:val="00EA15BE"/>
    <w:rsid w:val="00EA2DDB"/>
    <w:rsid w:val="00EB2E62"/>
    <w:rsid w:val="00EC437D"/>
    <w:rsid w:val="00EC61CA"/>
    <w:rsid w:val="00EC68D7"/>
    <w:rsid w:val="00EF50A6"/>
    <w:rsid w:val="00EF5202"/>
    <w:rsid w:val="00EF7820"/>
    <w:rsid w:val="00F25DBF"/>
    <w:rsid w:val="00F276F0"/>
    <w:rsid w:val="00F51E13"/>
    <w:rsid w:val="00F615D5"/>
    <w:rsid w:val="00F6697F"/>
    <w:rsid w:val="00F70766"/>
    <w:rsid w:val="00F80449"/>
    <w:rsid w:val="00F81177"/>
    <w:rsid w:val="00F81ABC"/>
    <w:rsid w:val="00F82C65"/>
    <w:rsid w:val="00F84105"/>
    <w:rsid w:val="00F84BA1"/>
    <w:rsid w:val="00F90B2A"/>
    <w:rsid w:val="00F941BB"/>
    <w:rsid w:val="00F94247"/>
    <w:rsid w:val="00F97188"/>
    <w:rsid w:val="00FA05D2"/>
    <w:rsid w:val="00FA3E63"/>
    <w:rsid w:val="00FA6AA6"/>
    <w:rsid w:val="00FB1BE5"/>
    <w:rsid w:val="00FB630C"/>
    <w:rsid w:val="00FC01A7"/>
    <w:rsid w:val="00FD2FF4"/>
    <w:rsid w:val="00FD30C6"/>
    <w:rsid w:val="00FD61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0ED"/>
    <w:pPr>
      <w:ind w:left="720"/>
      <w:contextualSpacing/>
    </w:pPr>
  </w:style>
  <w:style w:type="character" w:styleId="Hyperlink">
    <w:name w:val="Hyperlink"/>
    <w:basedOn w:val="DefaultParagraphFont"/>
    <w:uiPriority w:val="99"/>
    <w:unhideWhenUsed/>
    <w:rsid w:val="00295F28"/>
    <w:rPr>
      <w:color w:val="0000FF" w:themeColor="hyperlink"/>
      <w:u w:val="single"/>
    </w:rPr>
  </w:style>
  <w:style w:type="paragraph" w:styleId="BalloonText">
    <w:name w:val="Balloon Text"/>
    <w:basedOn w:val="Normal"/>
    <w:link w:val="BalloonTextChar"/>
    <w:uiPriority w:val="99"/>
    <w:semiHidden/>
    <w:unhideWhenUsed/>
    <w:rsid w:val="00DF0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24"/>
    <w:rPr>
      <w:rFonts w:ascii="Tahoma" w:hAnsi="Tahoma" w:cs="Tahoma"/>
      <w:sz w:val="16"/>
      <w:szCs w:val="16"/>
    </w:rPr>
  </w:style>
  <w:style w:type="table" w:styleId="TableGrid">
    <w:name w:val="Table Grid"/>
    <w:basedOn w:val="TableNormal"/>
    <w:uiPriority w:val="59"/>
    <w:rsid w:val="00DF0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5956"/>
    <w:rPr>
      <w:color w:val="800080" w:themeColor="followedHyperlink"/>
      <w:u w:val="single"/>
    </w:rPr>
  </w:style>
  <w:style w:type="character" w:customStyle="1" w:styleId="firstword1">
    <w:name w:val="firstword1"/>
    <w:basedOn w:val="DefaultParagraphFont"/>
    <w:rsid w:val="00DE7760"/>
    <w:rPr>
      <w:rFonts w:ascii="Verdana" w:hAnsi="Verdana" w:hint="default"/>
      <w:b/>
      <w:bCs/>
      <w:strike w:val="0"/>
      <w:dstrike w:val="0"/>
      <w:sz w:val="19"/>
      <w:szCs w:val="19"/>
      <w:u w:val="none"/>
      <w:effect w:val="none"/>
    </w:rPr>
  </w:style>
  <w:style w:type="character" w:customStyle="1" w:styleId="bqquotelink1">
    <w:name w:val="bqquotelink1"/>
    <w:basedOn w:val="DefaultParagraphFont"/>
    <w:rsid w:val="000956CA"/>
    <w:rPr>
      <w:rFonts w:ascii="Helvetica" w:hAnsi="Helvetica" w:hint="default"/>
      <w:sz w:val="27"/>
      <w:szCs w:val="27"/>
    </w:rPr>
  </w:style>
</w:styles>
</file>

<file path=word/webSettings.xml><?xml version="1.0" encoding="utf-8"?>
<w:webSettings xmlns:r="http://schemas.openxmlformats.org/officeDocument/2006/relationships" xmlns:w="http://schemas.openxmlformats.org/wordprocessingml/2006/main">
  <w:divs>
    <w:div w:id="26414204">
      <w:bodyDiv w:val="1"/>
      <w:marLeft w:val="0"/>
      <w:marRight w:val="0"/>
      <w:marTop w:val="0"/>
      <w:marBottom w:val="0"/>
      <w:divBdr>
        <w:top w:val="none" w:sz="0" w:space="0" w:color="auto"/>
        <w:left w:val="none" w:sz="0" w:space="0" w:color="auto"/>
        <w:bottom w:val="none" w:sz="0" w:space="0" w:color="auto"/>
        <w:right w:val="none" w:sz="0" w:space="0" w:color="auto"/>
      </w:divBdr>
      <w:divsChild>
        <w:div w:id="605582181">
          <w:marLeft w:val="547"/>
          <w:marRight w:val="0"/>
          <w:marTop w:val="0"/>
          <w:marBottom w:val="0"/>
          <w:divBdr>
            <w:top w:val="none" w:sz="0" w:space="0" w:color="auto"/>
            <w:left w:val="none" w:sz="0" w:space="0" w:color="auto"/>
            <w:bottom w:val="none" w:sz="0" w:space="0" w:color="auto"/>
            <w:right w:val="none" w:sz="0" w:space="0" w:color="auto"/>
          </w:divBdr>
        </w:div>
      </w:divsChild>
    </w:div>
    <w:div w:id="248545139">
      <w:bodyDiv w:val="1"/>
      <w:marLeft w:val="0"/>
      <w:marRight w:val="0"/>
      <w:marTop w:val="0"/>
      <w:marBottom w:val="0"/>
      <w:divBdr>
        <w:top w:val="none" w:sz="0" w:space="0" w:color="auto"/>
        <w:left w:val="none" w:sz="0" w:space="0" w:color="auto"/>
        <w:bottom w:val="none" w:sz="0" w:space="0" w:color="auto"/>
        <w:right w:val="none" w:sz="0" w:space="0" w:color="auto"/>
      </w:divBdr>
      <w:divsChild>
        <w:div w:id="1149514349">
          <w:marLeft w:val="547"/>
          <w:marRight w:val="0"/>
          <w:marTop w:val="0"/>
          <w:marBottom w:val="0"/>
          <w:divBdr>
            <w:top w:val="none" w:sz="0" w:space="0" w:color="auto"/>
            <w:left w:val="none" w:sz="0" w:space="0" w:color="auto"/>
            <w:bottom w:val="none" w:sz="0" w:space="0" w:color="auto"/>
            <w:right w:val="none" w:sz="0" w:space="0" w:color="auto"/>
          </w:divBdr>
        </w:div>
      </w:divsChild>
    </w:div>
    <w:div w:id="556742331">
      <w:bodyDiv w:val="1"/>
      <w:marLeft w:val="0"/>
      <w:marRight w:val="0"/>
      <w:marTop w:val="0"/>
      <w:marBottom w:val="0"/>
      <w:divBdr>
        <w:top w:val="none" w:sz="0" w:space="0" w:color="auto"/>
        <w:left w:val="none" w:sz="0" w:space="0" w:color="auto"/>
        <w:bottom w:val="none" w:sz="0" w:space="0" w:color="auto"/>
        <w:right w:val="none" w:sz="0" w:space="0" w:color="auto"/>
      </w:divBdr>
      <w:divsChild>
        <w:div w:id="1934900369">
          <w:marLeft w:val="547"/>
          <w:marRight w:val="0"/>
          <w:marTop w:val="0"/>
          <w:marBottom w:val="0"/>
          <w:divBdr>
            <w:top w:val="none" w:sz="0" w:space="0" w:color="auto"/>
            <w:left w:val="none" w:sz="0" w:space="0" w:color="auto"/>
            <w:bottom w:val="none" w:sz="0" w:space="0" w:color="auto"/>
            <w:right w:val="none" w:sz="0" w:space="0" w:color="auto"/>
          </w:divBdr>
        </w:div>
      </w:divsChild>
    </w:div>
    <w:div w:id="644430563">
      <w:bodyDiv w:val="1"/>
      <w:marLeft w:val="0"/>
      <w:marRight w:val="0"/>
      <w:marTop w:val="0"/>
      <w:marBottom w:val="0"/>
      <w:divBdr>
        <w:top w:val="none" w:sz="0" w:space="0" w:color="auto"/>
        <w:left w:val="none" w:sz="0" w:space="0" w:color="auto"/>
        <w:bottom w:val="none" w:sz="0" w:space="0" w:color="auto"/>
        <w:right w:val="none" w:sz="0" w:space="0" w:color="auto"/>
      </w:divBdr>
      <w:divsChild>
        <w:div w:id="706293394">
          <w:marLeft w:val="0"/>
          <w:marRight w:val="0"/>
          <w:marTop w:val="0"/>
          <w:marBottom w:val="0"/>
          <w:divBdr>
            <w:top w:val="none" w:sz="0" w:space="0" w:color="auto"/>
            <w:left w:val="none" w:sz="0" w:space="0" w:color="auto"/>
            <w:bottom w:val="none" w:sz="0" w:space="0" w:color="auto"/>
            <w:right w:val="none" w:sz="0" w:space="0" w:color="auto"/>
          </w:divBdr>
          <w:divsChild>
            <w:div w:id="575479304">
              <w:marLeft w:val="0"/>
              <w:marRight w:val="0"/>
              <w:marTop w:val="0"/>
              <w:marBottom w:val="0"/>
              <w:divBdr>
                <w:top w:val="none" w:sz="0" w:space="0" w:color="auto"/>
                <w:left w:val="none" w:sz="0" w:space="0" w:color="auto"/>
                <w:bottom w:val="none" w:sz="0" w:space="0" w:color="auto"/>
                <w:right w:val="none" w:sz="0" w:space="0" w:color="auto"/>
              </w:divBdr>
              <w:divsChild>
                <w:div w:id="1474248079">
                  <w:marLeft w:val="0"/>
                  <w:marRight w:val="0"/>
                  <w:marTop w:val="0"/>
                  <w:marBottom w:val="0"/>
                  <w:divBdr>
                    <w:top w:val="none" w:sz="0" w:space="0" w:color="auto"/>
                    <w:left w:val="none" w:sz="0" w:space="0" w:color="auto"/>
                    <w:bottom w:val="none" w:sz="0" w:space="0" w:color="auto"/>
                    <w:right w:val="none" w:sz="0" w:space="0" w:color="auto"/>
                  </w:divBdr>
                  <w:divsChild>
                    <w:div w:id="2048479617">
                      <w:marLeft w:val="0"/>
                      <w:marRight w:val="0"/>
                      <w:marTop w:val="41"/>
                      <w:marBottom w:val="0"/>
                      <w:divBdr>
                        <w:top w:val="none" w:sz="0" w:space="0" w:color="auto"/>
                        <w:left w:val="none" w:sz="0" w:space="0" w:color="auto"/>
                        <w:bottom w:val="none" w:sz="0" w:space="0" w:color="auto"/>
                        <w:right w:val="none" w:sz="0" w:space="0" w:color="auto"/>
                      </w:divBdr>
                      <w:divsChild>
                        <w:div w:id="85687902">
                          <w:marLeft w:val="0"/>
                          <w:marRight w:val="0"/>
                          <w:marTop w:val="0"/>
                          <w:marBottom w:val="0"/>
                          <w:divBdr>
                            <w:top w:val="single" w:sz="6" w:space="3" w:color="C3CCDF"/>
                            <w:left w:val="single" w:sz="6" w:space="3" w:color="C3CCDF"/>
                            <w:bottom w:val="single" w:sz="6" w:space="3" w:color="C3CCDF"/>
                            <w:right w:val="single" w:sz="6" w:space="3" w:color="C3CCDF"/>
                          </w:divBdr>
                          <w:divsChild>
                            <w:div w:id="3003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45305">
      <w:bodyDiv w:val="1"/>
      <w:marLeft w:val="0"/>
      <w:marRight w:val="0"/>
      <w:marTop w:val="0"/>
      <w:marBottom w:val="0"/>
      <w:divBdr>
        <w:top w:val="none" w:sz="0" w:space="0" w:color="auto"/>
        <w:left w:val="none" w:sz="0" w:space="0" w:color="auto"/>
        <w:bottom w:val="none" w:sz="0" w:space="0" w:color="auto"/>
        <w:right w:val="none" w:sz="0" w:space="0" w:color="auto"/>
      </w:divBdr>
      <w:divsChild>
        <w:div w:id="2003581083">
          <w:marLeft w:val="547"/>
          <w:marRight w:val="0"/>
          <w:marTop w:val="0"/>
          <w:marBottom w:val="0"/>
          <w:divBdr>
            <w:top w:val="none" w:sz="0" w:space="0" w:color="auto"/>
            <w:left w:val="none" w:sz="0" w:space="0" w:color="auto"/>
            <w:bottom w:val="none" w:sz="0" w:space="0" w:color="auto"/>
            <w:right w:val="none" w:sz="0" w:space="0" w:color="auto"/>
          </w:divBdr>
        </w:div>
      </w:divsChild>
    </w:div>
    <w:div w:id="847446051">
      <w:bodyDiv w:val="1"/>
      <w:marLeft w:val="0"/>
      <w:marRight w:val="0"/>
      <w:marTop w:val="0"/>
      <w:marBottom w:val="0"/>
      <w:divBdr>
        <w:top w:val="none" w:sz="0" w:space="0" w:color="auto"/>
        <w:left w:val="none" w:sz="0" w:space="0" w:color="auto"/>
        <w:bottom w:val="none" w:sz="0" w:space="0" w:color="auto"/>
        <w:right w:val="none" w:sz="0" w:space="0" w:color="auto"/>
      </w:divBdr>
      <w:divsChild>
        <w:div w:id="104159853">
          <w:marLeft w:val="0"/>
          <w:marRight w:val="0"/>
          <w:marTop w:val="107"/>
          <w:marBottom w:val="107"/>
          <w:divBdr>
            <w:top w:val="single" w:sz="4" w:space="0" w:color="444444"/>
            <w:left w:val="single" w:sz="4" w:space="0" w:color="444444"/>
            <w:bottom w:val="single" w:sz="4" w:space="0" w:color="444444"/>
            <w:right w:val="single" w:sz="4" w:space="0" w:color="444444"/>
          </w:divBdr>
          <w:divsChild>
            <w:div w:id="2116437200">
              <w:marLeft w:val="0"/>
              <w:marRight w:val="0"/>
              <w:marTop w:val="0"/>
              <w:marBottom w:val="0"/>
              <w:divBdr>
                <w:top w:val="none" w:sz="0" w:space="0" w:color="auto"/>
                <w:left w:val="none" w:sz="0" w:space="0" w:color="auto"/>
                <w:bottom w:val="none" w:sz="0" w:space="0" w:color="auto"/>
                <w:right w:val="none" w:sz="0" w:space="0" w:color="auto"/>
              </w:divBdr>
              <w:divsChild>
                <w:div w:id="1153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5622">
      <w:bodyDiv w:val="1"/>
      <w:marLeft w:val="0"/>
      <w:marRight w:val="0"/>
      <w:marTop w:val="0"/>
      <w:marBottom w:val="0"/>
      <w:divBdr>
        <w:top w:val="none" w:sz="0" w:space="0" w:color="auto"/>
        <w:left w:val="none" w:sz="0" w:space="0" w:color="auto"/>
        <w:bottom w:val="none" w:sz="0" w:space="0" w:color="auto"/>
        <w:right w:val="none" w:sz="0" w:space="0" w:color="auto"/>
      </w:divBdr>
      <w:divsChild>
        <w:div w:id="560100305">
          <w:marLeft w:val="547"/>
          <w:marRight w:val="0"/>
          <w:marTop w:val="0"/>
          <w:marBottom w:val="0"/>
          <w:divBdr>
            <w:top w:val="none" w:sz="0" w:space="0" w:color="auto"/>
            <w:left w:val="none" w:sz="0" w:space="0" w:color="auto"/>
            <w:bottom w:val="none" w:sz="0" w:space="0" w:color="auto"/>
            <w:right w:val="none" w:sz="0" w:space="0" w:color="auto"/>
          </w:divBdr>
        </w:div>
      </w:divsChild>
    </w:div>
    <w:div w:id="937981446">
      <w:bodyDiv w:val="1"/>
      <w:marLeft w:val="0"/>
      <w:marRight w:val="0"/>
      <w:marTop w:val="0"/>
      <w:marBottom w:val="0"/>
      <w:divBdr>
        <w:top w:val="none" w:sz="0" w:space="0" w:color="auto"/>
        <w:left w:val="none" w:sz="0" w:space="0" w:color="auto"/>
        <w:bottom w:val="none" w:sz="0" w:space="0" w:color="auto"/>
        <w:right w:val="none" w:sz="0" w:space="0" w:color="auto"/>
      </w:divBdr>
      <w:divsChild>
        <w:div w:id="576599349">
          <w:marLeft w:val="547"/>
          <w:marRight w:val="0"/>
          <w:marTop w:val="0"/>
          <w:marBottom w:val="0"/>
          <w:divBdr>
            <w:top w:val="none" w:sz="0" w:space="0" w:color="auto"/>
            <w:left w:val="none" w:sz="0" w:space="0" w:color="auto"/>
            <w:bottom w:val="none" w:sz="0" w:space="0" w:color="auto"/>
            <w:right w:val="none" w:sz="0" w:space="0" w:color="auto"/>
          </w:divBdr>
        </w:div>
      </w:divsChild>
    </w:div>
    <w:div w:id="1032919764">
      <w:bodyDiv w:val="1"/>
      <w:marLeft w:val="0"/>
      <w:marRight w:val="0"/>
      <w:marTop w:val="0"/>
      <w:marBottom w:val="0"/>
      <w:divBdr>
        <w:top w:val="none" w:sz="0" w:space="0" w:color="auto"/>
        <w:left w:val="none" w:sz="0" w:space="0" w:color="auto"/>
        <w:bottom w:val="none" w:sz="0" w:space="0" w:color="auto"/>
        <w:right w:val="none" w:sz="0" w:space="0" w:color="auto"/>
      </w:divBdr>
      <w:divsChild>
        <w:div w:id="1829907197">
          <w:marLeft w:val="547"/>
          <w:marRight w:val="0"/>
          <w:marTop w:val="0"/>
          <w:marBottom w:val="0"/>
          <w:divBdr>
            <w:top w:val="none" w:sz="0" w:space="0" w:color="auto"/>
            <w:left w:val="none" w:sz="0" w:space="0" w:color="auto"/>
            <w:bottom w:val="none" w:sz="0" w:space="0" w:color="auto"/>
            <w:right w:val="none" w:sz="0" w:space="0" w:color="auto"/>
          </w:divBdr>
        </w:div>
      </w:divsChild>
    </w:div>
    <w:div w:id="1432122007">
      <w:bodyDiv w:val="1"/>
      <w:marLeft w:val="0"/>
      <w:marRight w:val="0"/>
      <w:marTop w:val="0"/>
      <w:marBottom w:val="0"/>
      <w:divBdr>
        <w:top w:val="none" w:sz="0" w:space="0" w:color="auto"/>
        <w:left w:val="none" w:sz="0" w:space="0" w:color="auto"/>
        <w:bottom w:val="none" w:sz="0" w:space="0" w:color="auto"/>
        <w:right w:val="none" w:sz="0" w:space="0" w:color="auto"/>
      </w:divBdr>
      <w:divsChild>
        <w:div w:id="708527591">
          <w:marLeft w:val="547"/>
          <w:marRight w:val="0"/>
          <w:marTop w:val="0"/>
          <w:marBottom w:val="0"/>
          <w:divBdr>
            <w:top w:val="none" w:sz="0" w:space="0" w:color="auto"/>
            <w:left w:val="none" w:sz="0" w:space="0" w:color="auto"/>
            <w:bottom w:val="none" w:sz="0" w:space="0" w:color="auto"/>
            <w:right w:val="none" w:sz="0" w:space="0" w:color="auto"/>
          </w:divBdr>
        </w:div>
        <w:div w:id="1035959878">
          <w:marLeft w:val="547"/>
          <w:marRight w:val="0"/>
          <w:marTop w:val="0"/>
          <w:marBottom w:val="0"/>
          <w:divBdr>
            <w:top w:val="none" w:sz="0" w:space="0" w:color="auto"/>
            <w:left w:val="none" w:sz="0" w:space="0" w:color="auto"/>
            <w:bottom w:val="none" w:sz="0" w:space="0" w:color="auto"/>
            <w:right w:val="none" w:sz="0" w:space="0" w:color="auto"/>
          </w:divBdr>
        </w:div>
        <w:div w:id="1855194084">
          <w:marLeft w:val="547"/>
          <w:marRight w:val="0"/>
          <w:marTop w:val="0"/>
          <w:marBottom w:val="0"/>
          <w:divBdr>
            <w:top w:val="none" w:sz="0" w:space="0" w:color="auto"/>
            <w:left w:val="none" w:sz="0" w:space="0" w:color="auto"/>
            <w:bottom w:val="none" w:sz="0" w:space="0" w:color="auto"/>
            <w:right w:val="none" w:sz="0" w:space="0" w:color="auto"/>
          </w:divBdr>
        </w:div>
      </w:divsChild>
    </w:div>
    <w:div w:id="1559123674">
      <w:bodyDiv w:val="1"/>
      <w:marLeft w:val="0"/>
      <w:marRight w:val="0"/>
      <w:marTop w:val="0"/>
      <w:marBottom w:val="0"/>
      <w:divBdr>
        <w:top w:val="none" w:sz="0" w:space="0" w:color="auto"/>
        <w:left w:val="none" w:sz="0" w:space="0" w:color="auto"/>
        <w:bottom w:val="none" w:sz="0" w:space="0" w:color="auto"/>
        <w:right w:val="none" w:sz="0" w:space="0" w:color="auto"/>
      </w:divBdr>
      <w:divsChild>
        <w:div w:id="257059388">
          <w:marLeft w:val="547"/>
          <w:marRight w:val="0"/>
          <w:marTop w:val="0"/>
          <w:marBottom w:val="0"/>
          <w:divBdr>
            <w:top w:val="none" w:sz="0" w:space="0" w:color="auto"/>
            <w:left w:val="none" w:sz="0" w:space="0" w:color="auto"/>
            <w:bottom w:val="none" w:sz="0" w:space="0" w:color="auto"/>
            <w:right w:val="none" w:sz="0" w:space="0" w:color="auto"/>
          </w:divBdr>
        </w:div>
        <w:div w:id="612710611">
          <w:marLeft w:val="547"/>
          <w:marRight w:val="0"/>
          <w:marTop w:val="0"/>
          <w:marBottom w:val="0"/>
          <w:divBdr>
            <w:top w:val="none" w:sz="0" w:space="0" w:color="auto"/>
            <w:left w:val="none" w:sz="0" w:space="0" w:color="auto"/>
            <w:bottom w:val="none" w:sz="0" w:space="0" w:color="auto"/>
            <w:right w:val="none" w:sz="0" w:space="0" w:color="auto"/>
          </w:divBdr>
        </w:div>
        <w:div w:id="96365071">
          <w:marLeft w:val="547"/>
          <w:marRight w:val="0"/>
          <w:marTop w:val="0"/>
          <w:marBottom w:val="0"/>
          <w:divBdr>
            <w:top w:val="none" w:sz="0" w:space="0" w:color="auto"/>
            <w:left w:val="none" w:sz="0" w:space="0" w:color="auto"/>
            <w:bottom w:val="none" w:sz="0" w:space="0" w:color="auto"/>
            <w:right w:val="none" w:sz="0" w:space="0" w:color="auto"/>
          </w:divBdr>
        </w:div>
      </w:divsChild>
    </w:div>
    <w:div w:id="1710227792">
      <w:bodyDiv w:val="1"/>
      <w:marLeft w:val="0"/>
      <w:marRight w:val="0"/>
      <w:marTop w:val="0"/>
      <w:marBottom w:val="0"/>
      <w:divBdr>
        <w:top w:val="none" w:sz="0" w:space="0" w:color="auto"/>
        <w:left w:val="none" w:sz="0" w:space="0" w:color="auto"/>
        <w:bottom w:val="none" w:sz="0" w:space="0" w:color="auto"/>
        <w:right w:val="none" w:sz="0" w:space="0" w:color="auto"/>
      </w:divBdr>
      <w:divsChild>
        <w:div w:id="1427920755">
          <w:marLeft w:val="547"/>
          <w:marRight w:val="0"/>
          <w:marTop w:val="0"/>
          <w:marBottom w:val="0"/>
          <w:divBdr>
            <w:top w:val="none" w:sz="0" w:space="0" w:color="auto"/>
            <w:left w:val="none" w:sz="0" w:space="0" w:color="auto"/>
            <w:bottom w:val="none" w:sz="0" w:space="0" w:color="auto"/>
            <w:right w:val="none" w:sz="0" w:space="0" w:color="auto"/>
          </w:divBdr>
        </w:div>
      </w:divsChild>
    </w:div>
    <w:div w:id="1889225577">
      <w:bodyDiv w:val="1"/>
      <w:marLeft w:val="0"/>
      <w:marRight w:val="0"/>
      <w:marTop w:val="0"/>
      <w:marBottom w:val="0"/>
      <w:divBdr>
        <w:top w:val="none" w:sz="0" w:space="0" w:color="auto"/>
        <w:left w:val="none" w:sz="0" w:space="0" w:color="auto"/>
        <w:bottom w:val="none" w:sz="0" w:space="0" w:color="auto"/>
        <w:right w:val="none" w:sz="0" w:space="0" w:color="auto"/>
      </w:divBdr>
      <w:divsChild>
        <w:div w:id="983505398">
          <w:marLeft w:val="547"/>
          <w:marRight w:val="0"/>
          <w:marTop w:val="0"/>
          <w:marBottom w:val="0"/>
          <w:divBdr>
            <w:top w:val="none" w:sz="0" w:space="0" w:color="auto"/>
            <w:left w:val="none" w:sz="0" w:space="0" w:color="auto"/>
            <w:bottom w:val="none" w:sz="0" w:space="0" w:color="auto"/>
            <w:right w:val="none" w:sz="0" w:space="0" w:color="auto"/>
          </w:divBdr>
        </w:div>
      </w:divsChild>
    </w:div>
    <w:div w:id="1911307007">
      <w:bodyDiv w:val="1"/>
      <w:marLeft w:val="0"/>
      <w:marRight w:val="0"/>
      <w:marTop w:val="0"/>
      <w:marBottom w:val="0"/>
      <w:divBdr>
        <w:top w:val="none" w:sz="0" w:space="0" w:color="auto"/>
        <w:left w:val="none" w:sz="0" w:space="0" w:color="auto"/>
        <w:bottom w:val="none" w:sz="0" w:space="0" w:color="auto"/>
        <w:right w:val="none" w:sz="0" w:space="0" w:color="auto"/>
      </w:divBdr>
      <w:divsChild>
        <w:div w:id="2077122066">
          <w:marLeft w:val="547"/>
          <w:marRight w:val="0"/>
          <w:marTop w:val="0"/>
          <w:marBottom w:val="0"/>
          <w:divBdr>
            <w:top w:val="none" w:sz="0" w:space="0" w:color="auto"/>
            <w:left w:val="none" w:sz="0" w:space="0" w:color="auto"/>
            <w:bottom w:val="none" w:sz="0" w:space="0" w:color="auto"/>
            <w:right w:val="none" w:sz="0" w:space="0" w:color="auto"/>
          </w:divBdr>
        </w:div>
      </w:divsChild>
    </w:div>
    <w:div w:id="1947614521">
      <w:bodyDiv w:val="1"/>
      <w:marLeft w:val="0"/>
      <w:marRight w:val="0"/>
      <w:marTop w:val="0"/>
      <w:marBottom w:val="0"/>
      <w:divBdr>
        <w:top w:val="none" w:sz="0" w:space="0" w:color="auto"/>
        <w:left w:val="none" w:sz="0" w:space="0" w:color="auto"/>
        <w:bottom w:val="none" w:sz="0" w:space="0" w:color="auto"/>
        <w:right w:val="none" w:sz="0" w:space="0" w:color="auto"/>
      </w:divBdr>
      <w:divsChild>
        <w:div w:id="720250525">
          <w:marLeft w:val="547"/>
          <w:marRight w:val="0"/>
          <w:marTop w:val="0"/>
          <w:marBottom w:val="0"/>
          <w:divBdr>
            <w:top w:val="none" w:sz="0" w:space="0" w:color="auto"/>
            <w:left w:val="none" w:sz="0" w:space="0" w:color="auto"/>
            <w:bottom w:val="none" w:sz="0" w:space="0" w:color="auto"/>
            <w:right w:val="none" w:sz="0" w:space="0" w:color="auto"/>
          </w:divBdr>
        </w:div>
      </w:divsChild>
    </w:div>
    <w:div w:id="1977026746">
      <w:bodyDiv w:val="1"/>
      <w:marLeft w:val="0"/>
      <w:marRight w:val="0"/>
      <w:marTop w:val="0"/>
      <w:marBottom w:val="0"/>
      <w:divBdr>
        <w:top w:val="none" w:sz="0" w:space="0" w:color="auto"/>
        <w:left w:val="none" w:sz="0" w:space="0" w:color="auto"/>
        <w:bottom w:val="none" w:sz="0" w:space="0" w:color="auto"/>
        <w:right w:val="none" w:sz="0" w:space="0" w:color="auto"/>
      </w:divBdr>
      <w:divsChild>
        <w:div w:id="13277877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a.gov.in/ADMINCMS/cms/frmGuidelines_Layout.aspx?page=PageNo2460" TargetMode="External"/><Relationship Id="rId13" Type="http://schemas.openxmlformats.org/officeDocument/2006/relationships/hyperlink" Target="http://rbidocs.rbi.org.in/rdocs/notification/PDFs/CIRWEB310315.pdf" TargetMode="External"/><Relationship Id="rId18" Type="http://schemas.openxmlformats.org/officeDocument/2006/relationships/hyperlink" Target="https://www.icsi.edu/docs/Webmodules/LinksOfWeeks/ICSI-Integrated%20CS%20Course%20Prospectus.pdf" TargetMode="External"/><Relationship Id="rId3" Type="http://schemas.openxmlformats.org/officeDocument/2006/relationships/settings" Target="settings.xml"/><Relationship Id="rId21" Type="http://schemas.openxmlformats.org/officeDocument/2006/relationships/hyperlink" Target="https://www.icsi.edu/Webmodules/Emailer-Workshop%20on%20Board%20Report.pdf" TargetMode="External"/><Relationship Id="rId7" Type="http://schemas.openxmlformats.org/officeDocument/2006/relationships/hyperlink" Target="https://www.irda.gov.in/ADMINCMS/cms/frmOrders_Layout.aspx?page=PageNo2458" TargetMode="External"/><Relationship Id="rId12" Type="http://schemas.openxmlformats.org/officeDocument/2006/relationships/hyperlink" Target="http://rbidocs.rbi.org.in/rdocs/PressRelease/PDFs/IEPR207231032015.pdf" TargetMode="External"/><Relationship Id="rId17" Type="http://schemas.openxmlformats.org/officeDocument/2006/relationships/hyperlink" Target="https://www.icsi.edu/docs/Webmodules/LinksOfWeeks/Appointment_of_Women_Directors_2403201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ebi.gov.in/cms/sebi_data/attachdocs/1427808617888.pdf" TargetMode="External"/><Relationship Id="rId20" Type="http://schemas.openxmlformats.org/officeDocument/2006/relationships/hyperlink" Target="http://www.icsi.edu/portals/70/class.pdf" TargetMode="External"/><Relationship Id="rId1" Type="http://schemas.openxmlformats.org/officeDocument/2006/relationships/numbering" Target="numbering.xml"/><Relationship Id="rId6" Type="http://schemas.openxmlformats.org/officeDocument/2006/relationships/hyperlink" Target="https://www.irda.gov.in/ADMINCMS/cms/frmGeneral_Layout.aspx?page=PageNo2459" TargetMode="External"/><Relationship Id="rId11" Type="http://schemas.openxmlformats.org/officeDocument/2006/relationships/hyperlink" Target="http://rbidocs.rbi.org.in/rdocs/PressRelease/PDFs/IEPR207331032015.pdf" TargetMode="External"/><Relationship Id="rId24" Type="http://schemas.openxmlformats.org/officeDocument/2006/relationships/fontTable" Target="fontTable.xml"/><Relationship Id="rId5" Type="http://schemas.openxmlformats.org/officeDocument/2006/relationships/hyperlink" Target="http://pib.nic.in/newsite/erelease.aspx?relid=117884" TargetMode="External"/><Relationship Id="rId15" Type="http://schemas.openxmlformats.org/officeDocument/2006/relationships/hyperlink" Target="http://www.imf.org/external/research/housing/report/pdf/0315.pdf" TargetMode="External"/><Relationship Id="rId23" Type="http://schemas.openxmlformats.org/officeDocument/2006/relationships/hyperlink" Target="mailto:csupdate@icsi.edu" TargetMode="External"/><Relationship Id="rId10" Type="http://schemas.openxmlformats.org/officeDocument/2006/relationships/hyperlink" Target="http://www.incometaxindia.gov.in/Lists/Press%20Releases/Attachments/355/CBDT-Press-Release-31.03.2015.pdf" TargetMode="External"/><Relationship Id="rId19" Type="http://schemas.openxmlformats.org/officeDocument/2006/relationships/hyperlink" Target="https://www.icsi.edu/docs/Webmodules/LinksOfWeeks/FLYER%20EIRC%2025032015.pdf" TargetMode="External"/><Relationship Id="rId4" Type="http://schemas.openxmlformats.org/officeDocument/2006/relationships/webSettings" Target="webSettings.xml"/><Relationship Id="rId9" Type="http://schemas.openxmlformats.org/officeDocument/2006/relationships/hyperlink" Target="https://www.irda.gov.in/ADMINCMS/cms/frmGuidelines_Layout.aspx?page=PageNo2461" TargetMode="External"/><Relationship Id="rId14" Type="http://schemas.openxmlformats.org/officeDocument/2006/relationships/hyperlink" Target="http://rbidocs.rbi.org.in/rdocs/notification/PDFs/91APDIR310315.pdf" TargetMode="External"/><Relationship Id="rId22" Type="http://schemas.openxmlformats.org/officeDocument/2006/relationships/hyperlink" Target="https://www.icsi.edu/docs/Webmodules/Dubai%20Glob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1188</TotalTime>
  <Pages>1</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252</cp:revision>
  <dcterms:created xsi:type="dcterms:W3CDTF">2015-02-26T04:05:00Z</dcterms:created>
  <dcterms:modified xsi:type="dcterms:W3CDTF">2015-04-01T05:05:00Z</dcterms:modified>
</cp:coreProperties>
</file>