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Default="00E95199" w:rsidP="00E95199">
      <w:pPr>
        <w:jc w:val="both"/>
        <w:rPr>
          <w:b/>
          <w:i/>
        </w:rPr>
      </w:pPr>
    </w:p>
    <w:p w:rsidR="00E95199" w:rsidRDefault="00E95199" w:rsidP="00E95199">
      <w:pPr>
        <w:spacing w:line="360" w:lineRule="auto"/>
        <w:ind w:left="1440" w:firstLine="720"/>
        <w:jc w:val="both"/>
        <w:rPr>
          <w:rFonts w:ascii="Arial" w:hAnsi="Arial" w:cs="Arial"/>
          <w:b/>
          <w:i/>
          <w:sz w:val="28"/>
          <w:szCs w:val="28"/>
        </w:rPr>
      </w:pPr>
      <w:r>
        <w:rPr>
          <w:rFonts w:ascii="Arial" w:hAnsi="Arial" w:cs="Arial"/>
          <w:b/>
          <w:i/>
          <w:sz w:val="28"/>
          <w:szCs w:val="28"/>
        </w:rPr>
        <w:t>FAQs On Goods &amp; Services Tax</w:t>
      </w:r>
    </w:p>
    <w:p w:rsidR="00DE677E" w:rsidRDefault="00DE677E" w:rsidP="00CF5FCF">
      <w:pPr>
        <w:spacing w:line="360" w:lineRule="auto"/>
        <w:ind w:left="2160"/>
        <w:jc w:val="both"/>
        <w:rPr>
          <w:rFonts w:asciiTheme="majorHAnsi" w:hAnsiTheme="majorHAnsi"/>
          <w:b/>
          <w:i/>
          <w:sz w:val="32"/>
          <w:szCs w:val="32"/>
        </w:rPr>
      </w:pPr>
    </w:p>
    <w:p w:rsidR="00FF7814" w:rsidRPr="00CF5FCF" w:rsidRDefault="00CF5FCF" w:rsidP="00CF5FCF">
      <w:pPr>
        <w:spacing w:line="360" w:lineRule="auto"/>
        <w:ind w:left="2160"/>
        <w:jc w:val="both"/>
        <w:rPr>
          <w:rFonts w:asciiTheme="majorHAnsi" w:hAnsiTheme="majorHAnsi"/>
          <w:b/>
          <w:i/>
          <w:sz w:val="32"/>
          <w:szCs w:val="32"/>
        </w:rPr>
      </w:pPr>
      <w:r w:rsidRPr="00CF5FCF">
        <w:rPr>
          <w:rFonts w:asciiTheme="majorHAnsi" w:hAnsiTheme="majorHAnsi"/>
          <w:b/>
          <w:i/>
          <w:sz w:val="32"/>
          <w:szCs w:val="32"/>
        </w:rPr>
        <w:t>2. Levy of and Exemption from Tax</w:t>
      </w:r>
      <w:r w:rsidR="00FF7814" w:rsidRPr="00CF5FCF">
        <w:rPr>
          <w:rFonts w:asciiTheme="majorHAnsi" w:hAnsiTheme="majorHAnsi"/>
          <w:b/>
          <w:i/>
          <w:sz w:val="32"/>
          <w:szCs w:val="32"/>
        </w:rPr>
        <w:t xml:space="preserve"> </w:t>
      </w:r>
    </w:p>
    <w:p w:rsidR="00997100" w:rsidRDefault="00997100" w:rsidP="00997100">
      <w:pPr>
        <w:spacing w:line="360" w:lineRule="auto"/>
        <w:ind w:left="709" w:hanging="709"/>
        <w:jc w:val="both"/>
        <w:rPr>
          <w:sz w:val="28"/>
          <w:szCs w:val="28"/>
        </w:rPr>
      </w:pPr>
      <w:r w:rsidRPr="00997100">
        <w:rPr>
          <w:sz w:val="28"/>
          <w:szCs w:val="28"/>
        </w:rPr>
        <w:t xml:space="preserve">Q 5. In respect of exchange of goods, namely gold watch for restaurant services will the transaction be taxable as two different supplies or will it be taxable only in the hands of the main supplier? </w:t>
      </w:r>
    </w:p>
    <w:p w:rsidR="00997100" w:rsidRDefault="00997100" w:rsidP="00997100">
      <w:pPr>
        <w:spacing w:line="360" w:lineRule="auto"/>
        <w:ind w:left="709" w:hanging="709"/>
        <w:jc w:val="both"/>
        <w:rPr>
          <w:sz w:val="28"/>
          <w:szCs w:val="28"/>
        </w:rPr>
      </w:pPr>
      <w:r w:rsidRPr="00997100">
        <w:rPr>
          <w:sz w:val="28"/>
          <w:szCs w:val="28"/>
        </w:rPr>
        <w:t xml:space="preserve">Ans. </w:t>
      </w:r>
      <w:r>
        <w:rPr>
          <w:sz w:val="28"/>
          <w:szCs w:val="28"/>
        </w:rPr>
        <w:t xml:space="preserve"> </w:t>
      </w:r>
      <w:r w:rsidRPr="00997100">
        <w:rPr>
          <w:sz w:val="28"/>
          <w:szCs w:val="28"/>
        </w:rPr>
        <w:t xml:space="preserve">No. In the above case the transaction of supply of watch from consumer to the restaurant will not be an independent supply as the same is not in the course of business. It is a consideration for a supply made by the restaurant to him. The same will be a taxable supply by the restaurant. </w:t>
      </w:r>
    </w:p>
    <w:p w:rsidR="00DD05B8" w:rsidRDefault="00DD05B8" w:rsidP="00997100">
      <w:pPr>
        <w:spacing w:line="360" w:lineRule="auto"/>
        <w:ind w:left="709" w:hanging="709"/>
        <w:jc w:val="both"/>
        <w:rPr>
          <w:sz w:val="28"/>
          <w:szCs w:val="28"/>
        </w:rPr>
      </w:pPr>
    </w:p>
    <w:p w:rsidR="003B1D51" w:rsidRDefault="00997100" w:rsidP="00997100">
      <w:pPr>
        <w:spacing w:line="360" w:lineRule="auto"/>
        <w:ind w:left="709" w:hanging="709"/>
        <w:jc w:val="both"/>
        <w:rPr>
          <w:sz w:val="28"/>
          <w:szCs w:val="28"/>
        </w:rPr>
      </w:pPr>
      <w:r w:rsidRPr="00997100">
        <w:rPr>
          <w:sz w:val="28"/>
          <w:szCs w:val="28"/>
        </w:rPr>
        <w:t xml:space="preserve">Q 6. </w:t>
      </w:r>
      <w:r w:rsidR="003B1D51">
        <w:rPr>
          <w:sz w:val="28"/>
          <w:szCs w:val="28"/>
        </w:rPr>
        <w:t xml:space="preserve">  </w:t>
      </w:r>
      <w:r w:rsidRPr="00997100">
        <w:rPr>
          <w:sz w:val="28"/>
          <w:szCs w:val="28"/>
        </w:rPr>
        <w:t>Whether supplies made without consider</w:t>
      </w:r>
      <w:r w:rsidR="003B1D51">
        <w:rPr>
          <w:sz w:val="28"/>
          <w:szCs w:val="28"/>
        </w:rPr>
        <w:t xml:space="preserve">ation will also come within the </w:t>
      </w:r>
      <w:r w:rsidRPr="00997100">
        <w:rPr>
          <w:sz w:val="28"/>
          <w:szCs w:val="28"/>
        </w:rPr>
        <w:t xml:space="preserve">purview of Supply under GST? </w:t>
      </w:r>
    </w:p>
    <w:p w:rsidR="006E1D28" w:rsidRDefault="00997100" w:rsidP="00997100">
      <w:pPr>
        <w:spacing w:line="360" w:lineRule="auto"/>
        <w:ind w:left="709" w:hanging="709"/>
        <w:jc w:val="both"/>
        <w:rPr>
          <w:sz w:val="28"/>
          <w:szCs w:val="28"/>
        </w:rPr>
      </w:pPr>
      <w:r w:rsidRPr="00997100">
        <w:rPr>
          <w:sz w:val="28"/>
          <w:szCs w:val="28"/>
        </w:rPr>
        <w:t xml:space="preserve">Ans. Yes only those cases which are specified under Schedule I to the Model GST Law. </w:t>
      </w:r>
    </w:p>
    <w:p w:rsidR="00DD05B8" w:rsidRDefault="00DD05B8" w:rsidP="00997100">
      <w:pPr>
        <w:spacing w:line="360" w:lineRule="auto"/>
        <w:ind w:left="709" w:hanging="709"/>
        <w:jc w:val="both"/>
        <w:rPr>
          <w:sz w:val="28"/>
          <w:szCs w:val="28"/>
        </w:rPr>
      </w:pPr>
    </w:p>
    <w:p w:rsidR="006E1D28" w:rsidRDefault="00997100" w:rsidP="00997100">
      <w:pPr>
        <w:spacing w:line="360" w:lineRule="auto"/>
        <w:ind w:left="709" w:hanging="709"/>
        <w:jc w:val="both"/>
        <w:rPr>
          <w:sz w:val="28"/>
          <w:szCs w:val="28"/>
        </w:rPr>
      </w:pPr>
      <w:r w:rsidRPr="00997100">
        <w:rPr>
          <w:sz w:val="28"/>
          <w:szCs w:val="28"/>
        </w:rPr>
        <w:t xml:space="preserve">Q 7. </w:t>
      </w:r>
      <w:r w:rsidR="006E1D28">
        <w:rPr>
          <w:sz w:val="28"/>
          <w:szCs w:val="28"/>
        </w:rPr>
        <w:t xml:space="preserve"> </w:t>
      </w:r>
      <w:r w:rsidRPr="00997100">
        <w:rPr>
          <w:sz w:val="28"/>
          <w:szCs w:val="28"/>
        </w:rPr>
        <w:t xml:space="preserve">Who can notify a transaction to be supply of goods and/or services? </w:t>
      </w:r>
    </w:p>
    <w:p w:rsidR="00DD05B8" w:rsidRDefault="00997100" w:rsidP="006E1D28">
      <w:pPr>
        <w:spacing w:line="360" w:lineRule="auto"/>
        <w:ind w:left="567" w:hanging="567"/>
        <w:jc w:val="both"/>
        <w:rPr>
          <w:sz w:val="28"/>
          <w:szCs w:val="28"/>
        </w:rPr>
      </w:pPr>
      <w:r w:rsidRPr="00997100">
        <w:rPr>
          <w:sz w:val="28"/>
          <w:szCs w:val="28"/>
        </w:rPr>
        <w:t>Ans. Central Government or State Governme</w:t>
      </w:r>
      <w:r w:rsidR="006E1D28">
        <w:rPr>
          <w:sz w:val="28"/>
          <w:szCs w:val="28"/>
        </w:rPr>
        <w:t xml:space="preserve">nt on the recommendation of the </w:t>
      </w:r>
      <w:r w:rsidRPr="00997100">
        <w:rPr>
          <w:sz w:val="28"/>
          <w:szCs w:val="28"/>
        </w:rPr>
        <w:t xml:space="preserve">GST Council can notify a transaction to be the supply of goods and/or services. </w:t>
      </w:r>
    </w:p>
    <w:p w:rsidR="00DD05B8" w:rsidRDefault="00DD05B8" w:rsidP="006E1D28">
      <w:pPr>
        <w:spacing w:line="360" w:lineRule="auto"/>
        <w:ind w:left="567" w:hanging="567"/>
        <w:jc w:val="both"/>
        <w:rPr>
          <w:sz w:val="28"/>
          <w:szCs w:val="28"/>
        </w:rPr>
      </w:pPr>
    </w:p>
    <w:p w:rsidR="00DD05B8" w:rsidRDefault="00997100" w:rsidP="006E1D28">
      <w:pPr>
        <w:spacing w:line="360" w:lineRule="auto"/>
        <w:ind w:left="567" w:hanging="567"/>
        <w:jc w:val="both"/>
        <w:rPr>
          <w:sz w:val="28"/>
          <w:szCs w:val="28"/>
        </w:rPr>
      </w:pPr>
      <w:r w:rsidRPr="00997100">
        <w:rPr>
          <w:sz w:val="28"/>
          <w:szCs w:val="28"/>
        </w:rPr>
        <w:lastRenderedPageBreak/>
        <w:t xml:space="preserve">Q 8. Will a taxable person be eligible to opt for composition scheme only for one out of 3 business verticals? </w:t>
      </w:r>
    </w:p>
    <w:p w:rsidR="00DE677E" w:rsidRPr="00997100" w:rsidRDefault="00997100" w:rsidP="006E1D28">
      <w:pPr>
        <w:spacing w:line="360" w:lineRule="auto"/>
        <w:ind w:left="567" w:hanging="567"/>
        <w:jc w:val="both"/>
        <w:rPr>
          <w:rFonts w:ascii="Arial" w:hAnsi="Arial" w:cs="Arial"/>
          <w:i/>
          <w:color w:val="0070C0"/>
          <w:sz w:val="28"/>
          <w:szCs w:val="28"/>
        </w:rPr>
      </w:pPr>
      <w:r w:rsidRPr="00997100">
        <w:rPr>
          <w:sz w:val="28"/>
          <w:szCs w:val="28"/>
        </w:rPr>
        <w:t>Ans. No, composition scheme would become applicable for all the business verticals/registrations which are separately held by the person with same PAN</w:t>
      </w:r>
      <w:r w:rsidR="00DD05B8">
        <w:rPr>
          <w:sz w:val="28"/>
          <w:szCs w:val="28"/>
        </w:rPr>
        <w:t>.</w:t>
      </w:r>
    </w:p>
    <w:p w:rsidR="00414555" w:rsidRPr="00FF7814" w:rsidRDefault="00414555" w:rsidP="009B1286">
      <w:pPr>
        <w:spacing w:line="360" w:lineRule="auto"/>
        <w:jc w:val="both"/>
        <w:rPr>
          <w:rFonts w:ascii="Arial" w:hAnsi="Arial" w:cs="Arial"/>
          <w:i/>
          <w:color w:val="0070C0"/>
        </w:rPr>
      </w:pPr>
      <w:r w:rsidRPr="00FF7814">
        <w:rPr>
          <w:rFonts w:ascii="Arial" w:hAnsi="Arial" w:cs="Arial"/>
          <w:i/>
          <w:color w:val="0070C0"/>
        </w:rPr>
        <w:t>Source:http://cbec.gov.in/resources//htdocscbec/deptt_offcr/faqongst.pdf;jsessionid=825C7C194F0FC0652FFE5A809FE81F69</w:t>
      </w:r>
    </w:p>
    <w:p w:rsidR="00414555" w:rsidRDefault="00414555" w:rsidP="00E95199">
      <w:pPr>
        <w:spacing w:line="360" w:lineRule="auto"/>
        <w:ind w:left="2880" w:firstLine="720"/>
        <w:jc w:val="both"/>
        <w:rPr>
          <w:rFonts w:ascii="Arial" w:hAnsi="Arial" w:cs="Arial"/>
        </w:rPr>
      </w:pPr>
    </w:p>
    <w:p w:rsidR="00E95199" w:rsidRDefault="00E95199" w:rsidP="00E95199">
      <w:pPr>
        <w:spacing w:line="360" w:lineRule="auto"/>
        <w:ind w:left="2880" w:firstLine="720"/>
        <w:jc w:val="both"/>
        <w:rPr>
          <w:rFonts w:ascii="Arial" w:hAnsi="Arial" w:cs="Arial"/>
          <w:b/>
          <w:i/>
          <w:sz w:val="28"/>
          <w:szCs w:val="28"/>
        </w:rPr>
      </w:pPr>
      <w:r>
        <w:rPr>
          <w:rFonts w:ascii="Arial" w:hAnsi="Arial" w:cs="Arial"/>
        </w:rPr>
        <w:t>===============</w:t>
      </w:r>
    </w:p>
    <w:p w:rsidR="00D91D1F" w:rsidRDefault="00D91D1F"/>
    <w:sectPr w:rsidR="00D91D1F"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5199"/>
    <w:rsid w:val="000028D4"/>
    <w:rsid w:val="000030FA"/>
    <w:rsid w:val="000204FB"/>
    <w:rsid w:val="0008267D"/>
    <w:rsid w:val="0020321F"/>
    <w:rsid w:val="00231265"/>
    <w:rsid w:val="00261EF9"/>
    <w:rsid w:val="002C19D3"/>
    <w:rsid w:val="002D2FF2"/>
    <w:rsid w:val="003648C6"/>
    <w:rsid w:val="003B1D51"/>
    <w:rsid w:val="003B7CCB"/>
    <w:rsid w:val="00414555"/>
    <w:rsid w:val="00443BC3"/>
    <w:rsid w:val="004829FA"/>
    <w:rsid w:val="004A3905"/>
    <w:rsid w:val="0055235F"/>
    <w:rsid w:val="00634E63"/>
    <w:rsid w:val="006B6EDF"/>
    <w:rsid w:val="006E1D28"/>
    <w:rsid w:val="00843BCC"/>
    <w:rsid w:val="008C272D"/>
    <w:rsid w:val="00983ED5"/>
    <w:rsid w:val="00997100"/>
    <w:rsid w:val="009B1286"/>
    <w:rsid w:val="00A0611F"/>
    <w:rsid w:val="00AA17C2"/>
    <w:rsid w:val="00AD1865"/>
    <w:rsid w:val="00AF3801"/>
    <w:rsid w:val="00BF594E"/>
    <w:rsid w:val="00CF5FCF"/>
    <w:rsid w:val="00D4306F"/>
    <w:rsid w:val="00D8135D"/>
    <w:rsid w:val="00D91D1F"/>
    <w:rsid w:val="00DD05B8"/>
    <w:rsid w:val="00DD6333"/>
    <w:rsid w:val="00DE677E"/>
    <w:rsid w:val="00DF6F5D"/>
    <w:rsid w:val="00E25AB5"/>
    <w:rsid w:val="00E92E2D"/>
    <w:rsid w:val="00E95199"/>
    <w:rsid w:val="00EC7302"/>
    <w:rsid w:val="00F65A29"/>
    <w:rsid w:val="00F871C1"/>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2016-09-30T10:43:00Z</dcterms:created>
  <dcterms:modified xsi:type="dcterms:W3CDTF">2016-10-21T04:50:00Z</dcterms:modified>
</cp:coreProperties>
</file>