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9327A4" w:rsidRPr="00F87B54" w:rsidRDefault="009327A4" w:rsidP="00F87B54">
      <w:pPr>
        <w:jc w:val="both"/>
        <w:rPr>
          <w:rFonts w:ascii="Arial" w:hAnsi="Arial" w:cs="Arial"/>
        </w:rPr>
      </w:pPr>
    </w:p>
    <w:p w:rsidR="00685E95" w:rsidRDefault="00685E95" w:rsidP="00685E95">
      <w:pPr>
        <w:spacing w:before="240" w:after="120" w:line="360" w:lineRule="auto"/>
        <w:jc w:val="both"/>
        <w:rPr>
          <w:sz w:val="28"/>
          <w:szCs w:val="28"/>
        </w:rPr>
      </w:pPr>
      <w:r w:rsidRPr="00685E95">
        <w:rPr>
          <w:b/>
          <w:i/>
          <w:sz w:val="28"/>
          <w:szCs w:val="28"/>
        </w:rPr>
        <w:t xml:space="preserve">Section </w:t>
      </w:r>
      <w:proofErr w:type="gramStart"/>
      <w:r w:rsidRPr="00685E95">
        <w:rPr>
          <w:b/>
          <w:i/>
          <w:sz w:val="28"/>
          <w:szCs w:val="28"/>
        </w:rPr>
        <w:t>26 :</w:t>
      </w:r>
      <w:proofErr w:type="gramEnd"/>
      <w:r w:rsidRPr="00685E95">
        <w:rPr>
          <w:b/>
          <w:i/>
          <w:sz w:val="28"/>
          <w:szCs w:val="28"/>
        </w:rPr>
        <w:t xml:space="preserve"> Furnishing details of inward supplies</w:t>
      </w:r>
      <w:r w:rsidRPr="00685E95">
        <w:rPr>
          <w:sz w:val="28"/>
          <w:szCs w:val="28"/>
        </w:rPr>
        <w:t xml:space="preserve"> </w:t>
      </w:r>
    </w:p>
    <w:p w:rsidR="00685E95" w:rsidRDefault="00685E95" w:rsidP="00685E95">
      <w:pPr>
        <w:spacing w:before="240" w:after="120" w:line="360" w:lineRule="auto"/>
        <w:jc w:val="both"/>
        <w:rPr>
          <w:sz w:val="28"/>
          <w:szCs w:val="28"/>
        </w:rPr>
      </w:pPr>
      <w:r w:rsidRPr="00685E95">
        <w:rPr>
          <w:sz w:val="28"/>
          <w:szCs w:val="28"/>
        </w:rPr>
        <w:t xml:space="preserve">(1) Every registered taxable person, other than an input service distributor and a person paying tax under the provisions of section 8 or section 37, shall verify, validate, modify or, if required, delete the details relating to outward supplies and credit or debit notes communicated under sub-section (1) of section 25 to prepare the details of his inward supplies and credit or debit notes and may include therein, the details of inward supplies and credit or debit notes received by him in respect of such supplies that have not been declared by the supplier under sub-section (1) of section 25. </w:t>
      </w:r>
    </w:p>
    <w:p w:rsidR="00685E95" w:rsidRDefault="00685E95" w:rsidP="00685E95">
      <w:pPr>
        <w:spacing w:before="240" w:after="120" w:line="360" w:lineRule="auto"/>
        <w:jc w:val="both"/>
        <w:rPr>
          <w:sz w:val="28"/>
          <w:szCs w:val="28"/>
        </w:rPr>
      </w:pPr>
      <w:r w:rsidRPr="00685E95">
        <w:rPr>
          <w:sz w:val="28"/>
          <w:szCs w:val="28"/>
        </w:rPr>
        <w:t xml:space="preserve">(2) Every registered taxable person shall furnish, electronically, the details of inward supplies of taxable goods and/or services, including inward supplies of services on which the tax is payable on reverse charge basis under this Act and inward supplies of goods and/or services taxable under the IGST Act, and credit or debit notes received in respect of such supplies during a tax period on or before the fifteenth day of the month succeeding the tax period in such form and manner as may be prescribed: </w:t>
      </w:r>
    </w:p>
    <w:p w:rsidR="00685E95" w:rsidRDefault="00685E95" w:rsidP="00685E95">
      <w:pPr>
        <w:spacing w:before="240" w:after="120" w:line="360" w:lineRule="auto"/>
        <w:jc w:val="both"/>
        <w:rPr>
          <w:sz w:val="28"/>
          <w:szCs w:val="28"/>
        </w:rPr>
      </w:pPr>
      <w:r w:rsidRPr="00685E95">
        <w:rPr>
          <w:sz w:val="28"/>
          <w:szCs w:val="28"/>
        </w:rPr>
        <w:t xml:space="preserve">Provided that the Board/Commissioner may, for valid and sufficient reasons, by notification, extend the time limit for furnishing such details: </w:t>
      </w:r>
    </w:p>
    <w:p w:rsidR="00685E95" w:rsidRDefault="00685E95" w:rsidP="00685E95">
      <w:pPr>
        <w:spacing w:before="240" w:after="120" w:line="360" w:lineRule="auto"/>
        <w:jc w:val="both"/>
        <w:rPr>
          <w:sz w:val="28"/>
          <w:szCs w:val="28"/>
        </w:rPr>
      </w:pPr>
      <w:r w:rsidRPr="00685E95">
        <w:rPr>
          <w:sz w:val="28"/>
          <w:szCs w:val="28"/>
        </w:rPr>
        <w:t xml:space="preserve">Provided further that any extension of time limit by the Board/Commissioner of State Goods and Services Tax shall be deemed to be approved by the Commissioner of State Goods and Services Tax/Board. </w:t>
      </w:r>
    </w:p>
    <w:p w:rsidR="00685E95" w:rsidRDefault="00685E95" w:rsidP="00685E95">
      <w:pPr>
        <w:spacing w:before="240" w:after="120" w:line="360" w:lineRule="auto"/>
        <w:jc w:val="both"/>
        <w:rPr>
          <w:sz w:val="28"/>
          <w:szCs w:val="28"/>
        </w:rPr>
      </w:pPr>
      <w:r w:rsidRPr="00685E95">
        <w:rPr>
          <w:sz w:val="28"/>
          <w:szCs w:val="28"/>
        </w:rPr>
        <w:lastRenderedPageBreak/>
        <w:t xml:space="preserve">(3) Any registered taxable person, who has furnished the details under sub-section (2) for any tax period and which have remained unmatched under section 29, shall, upon discovery of any error or omission therein, rectify such error or omission in the tax period during which such error or omission is noticed in such manner as may be prescribed, and shall pay the tax and interest, if any, in case there is a short payment of tax on account of such error or omission, in the return to be furnished for such tax period: </w:t>
      </w:r>
    </w:p>
    <w:p w:rsidR="00B41CD7" w:rsidRPr="00685E95" w:rsidRDefault="00685E95" w:rsidP="00685E95">
      <w:pPr>
        <w:spacing w:before="240" w:after="120" w:line="360" w:lineRule="auto"/>
        <w:jc w:val="both"/>
        <w:rPr>
          <w:rFonts w:cs="Arial"/>
          <w:b/>
          <w:sz w:val="28"/>
          <w:szCs w:val="28"/>
        </w:rPr>
      </w:pPr>
      <w:r w:rsidRPr="00685E95">
        <w:rPr>
          <w:sz w:val="28"/>
          <w:szCs w:val="28"/>
        </w:rPr>
        <w:t xml:space="preserve">Provided that no rectification of error or omission in respect of the details furnished under sub-section (2) shall be allowed after filing of the return under section 27 for the month of September following the end of the financial year to which such details pertain, or filing of the relevant annual return, whichever is </w:t>
      </w:r>
      <w:proofErr w:type="spellStart"/>
      <w:r w:rsidRPr="00685E95">
        <w:rPr>
          <w:sz w:val="28"/>
          <w:szCs w:val="28"/>
        </w:rPr>
        <w:t>earlier.</w:t>
      </w:r>
      <w:proofErr w:type="spellEnd"/>
    </w:p>
    <w:sectPr w:rsidR="00B41CD7" w:rsidRPr="00685E95"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7A4"/>
    <w:rsid w:val="001A4CBC"/>
    <w:rsid w:val="001F657A"/>
    <w:rsid w:val="00246F50"/>
    <w:rsid w:val="00311FFC"/>
    <w:rsid w:val="0039582E"/>
    <w:rsid w:val="004A73EB"/>
    <w:rsid w:val="004B23D7"/>
    <w:rsid w:val="005C57A6"/>
    <w:rsid w:val="00604565"/>
    <w:rsid w:val="00685E95"/>
    <w:rsid w:val="00815F9F"/>
    <w:rsid w:val="00882A51"/>
    <w:rsid w:val="009327A4"/>
    <w:rsid w:val="00955BF8"/>
    <w:rsid w:val="00A3431E"/>
    <w:rsid w:val="00A710DC"/>
    <w:rsid w:val="00B41CD7"/>
    <w:rsid w:val="00CE3D07"/>
    <w:rsid w:val="00DB3671"/>
    <w:rsid w:val="00DD0976"/>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2016-09-09T04:48:00Z</dcterms:created>
  <dcterms:modified xsi:type="dcterms:W3CDTF">2016-09-21T06:26:00Z</dcterms:modified>
</cp:coreProperties>
</file>