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4F" w:rsidRPr="00B74080" w:rsidRDefault="00F56E4F" w:rsidP="00F17DA4">
      <w:pPr>
        <w:rPr>
          <w:rFonts w:ascii="Times New Roman" w:hAnsi="Times New Roman" w:cs="Times New Roman"/>
          <w:b/>
          <w:sz w:val="24"/>
          <w:szCs w:val="24"/>
        </w:rPr>
      </w:pPr>
      <w:r w:rsidRPr="00B74080">
        <w:rPr>
          <w:rFonts w:ascii="Times New Roman" w:hAnsi="Times New Roman" w:cs="Times New Roman"/>
          <w:b/>
          <w:sz w:val="24"/>
          <w:szCs w:val="24"/>
        </w:rPr>
        <w:t xml:space="preserve">Supplement </w:t>
      </w:r>
    </w:p>
    <w:p w:rsidR="000C66B7" w:rsidRPr="00B74080" w:rsidRDefault="009D488F" w:rsidP="00F17DA4">
      <w:pPr>
        <w:rPr>
          <w:rFonts w:ascii="Times New Roman" w:hAnsi="Times New Roman" w:cs="Times New Roman"/>
          <w:b/>
          <w:sz w:val="24"/>
          <w:szCs w:val="24"/>
        </w:rPr>
      </w:pPr>
      <w:r>
        <w:rPr>
          <w:rFonts w:ascii="Times New Roman" w:hAnsi="Times New Roman" w:cs="Times New Roman"/>
          <w:b/>
          <w:sz w:val="24"/>
          <w:szCs w:val="24"/>
        </w:rPr>
        <w:t>Guidance for December</w:t>
      </w:r>
      <w:r w:rsidR="00E0789B" w:rsidRPr="00B74080">
        <w:rPr>
          <w:rFonts w:ascii="Times New Roman" w:hAnsi="Times New Roman" w:cs="Times New Roman"/>
          <w:b/>
          <w:sz w:val="24"/>
          <w:szCs w:val="24"/>
        </w:rPr>
        <w:t xml:space="preserve"> 2020 Examinations</w:t>
      </w:r>
    </w:p>
    <w:p w:rsidR="00E0789B" w:rsidRPr="00B74080" w:rsidRDefault="00E0789B" w:rsidP="00F17DA4">
      <w:pPr>
        <w:rPr>
          <w:rFonts w:ascii="Times New Roman" w:hAnsi="Times New Roman" w:cs="Times New Roman"/>
          <w:b/>
          <w:sz w:val="24"/>
          <w:szCs w:val="24"/>
        </w:rPr>
      </w:pPr>
      <w:r w:rsidRPr="00B74080">
        <w:rPr>
          <w:rFonts w:ascii="Times New Roman" w:hAnsi="Times New Roman" w:cs="Times New Roman"/>
          <w:b/>
          <w:sz w:val="24"/>
          <w:szCs w:val="24"/>
        </w:rPr>
        <w:t>CAPITAL, COMMODITY &amp; MONEY MARKET</w:t>
      </w:r>
    </w:p>
    <w:p w:rsidR="00E0789B" w:rsidRPr="00B74080" w:rsidRDefault="00E0789B" w:rsidP="00F17DA4">
      <w:pPr>
        <w:rPr>
          <w:rFonts w:ascii="Times New Roman" w:hAnsi="Times New Roman" w:cs="Times New Roman"/>
          <w:b/>
          <w:sz w:val="24"/>
          <w:szCs w:val="24"/>
        </w:rPr>
      </w:pPr>
      <w:r w:rsidRPr="00B74080">
        <w:rPr>
          <w:rFonts w:ascii="Times New Roman" w:hAnsi="Times New Roman" w:cs="Times New Roman"/>
          <w:b/>
          <w:sz w:val="24"/>
          <w:szCs w:val="24"/>
        </w:rPr>
        <w:t>PROFESSIONAL PROGRAMME</w:t>
      </w:r>
    </w:p>
    <w:p w:rsidR="00704FBF" w:rsidRDefault="00E0789B" w:rsidP="00F17DA4">
      <w:pPr>
        <w:rPr>
          <w:rFonts w:ascii="Times New Roman" w:hAnsi="Times New Roman" w:cs="Times New Roman"/>
          <w:b/>
          <w:sz w:val="24"/>
          <w:szCs w:val="24"/>
        </w:rPr>
      </w:pPr>
      <w:r w:rsidRPr="00B74080">
        <w:rPr>
          <w:rFonts w:ascii="Times New Roman" w:hAnsi="Times New Roman" w:cs="Times New Roman"/>
          <w:b/>
          <w:sz w:val="24"/>
          <w:szCs w:val="24"/>
        </w:rPr>
        <w:t>(OLD SYLLABUS)</w:t>
      </w:r>
    </w:p>
    <w:p w:rsidR="00B43DBA" w:rsidRDefault="00B43DBA" w:rsidP="00F17DA4">
      <w:pPr>
        <w:rPr>
          <w:rFonts w:ascii="Times New Roman" w:hAnsi="Times New Roman" w:cs="Times New Roman"/>
          <w:b/>
          <w:sz w:val="24"/>
          <w:szCs w:val="24"/>
        </w:rPr>
      </w:pPr>
    </w:p>
    <w:p w:rsidR="00B43DBA" w:rsidRDefault="00B43DBA" w:rsidP="00F17DA4">
      <w:pPr>
        <w:rPr>
          <w:rFonts w:ascii="Times New Roman" w:hAnsi="Times New Roman" w:cs="Times New Roman"/>
          <w:b/>
          <w:sz w:val="24"/>
          <w:szCs w:val="24"/>
        </w:rPr>
      </w:pPr>
      <w:r>
        <w:rPr>
          <w:rFonts w:ascii="Times New Roman" w:hAnsi="Times New Roman" w:cs="Times New Roman"/>
          <w:b/>
          <w:sz w:val="24"/>
          <w:szCs w:val="24"/>
        </w:rPr>
        <w:t>Lesson 3</w:t>
      </w:r>
    </w:p>
    <w:p w:rsidR="002C5A29" w:rsidRPr="00B74080" w:rsidRDefault="00B43DBA" w:rsidP="002C5A29">
      <w:pPr>
        <w:rPr>
          <w:rFonts w:ascii="Times New Roman" w:hAnsi="Times New Roman" w:cs="Times New Roman"/>
          <w:b/>
          <w:sz w:val="24"/>
          <w:szCs w:val="24"/>
        </w:rPr>
      </w:pPr>
      <w:r w:rsidRPr="00B43DBA">
        <w:rPr>
          <w:rFonts w:ascii="Times New Roman" w:hAnsi="Times New Roman" w:cs="Times New Roman"/>
          <w:b/>
          <w:sz w:val="24"/>
          <w:szCs w:val="24"/>
        </w:rPr>
        <w:t>Financial Intermediaries Framework</w:t>
      </w:r>
    </w:p>
    <w:p w:rsidR="002C5A29" w:rsidRPr="002C5A29" w:rsidRDefault="002C5A29" w:rsidP="002C5A29">
      <w:pPr>
        <w:rPr>
          <w:rFonts w:ascii="Times New Roman" w:hAnsi="Times New Roman" w:cs="Times New Roman"/>
          <w:b/>
          <w:sz w:val="24"/>
          <w:szCs w:val="24"/>
        </w:rPr>
      </w:pPr>
      <w:r w:rsidRPr="002C5A29">
        <w:rPr>
          <w:rFonts w:ascii="Times New Roman" w:hAnsi="Times New Roman" w:cs="Times New Roman"/>
          <w:b/>
          <w:sz w:val="24"/>
          <w:szCs w:val="24"/>
        </w:rPr>
        <w:t>Credit Rating Agencies</w:t>
      </w:r>
    </w:p>
    <w:p w:rsidR="002C5A29" w:rsidRPr="00B74080" w:rsidRDefault="002C5A29" w:rsidP="002C5A29">
      <w:pPr>
        <w:rPr>
          <w:rFonts w:ascii="Times New Roman" w:hAnsi="Times New Roman" w:cs="Times New Roman"/>
          <w:sz w:val="24"/>
          <w:szCs w:val="24"/>
        </w:rPr>
      </w:pPr>
      <w:r w:rsidRPr="00B74080">
        <w:rPr>
          <w:rFonts w:ascii="Times New Roman" w:hAnsi="Times New Roman" w:cs="Times New Roman"/>
          <w:sz w:val="24"/>
          <w:szCs w:val="24"/>
        </w:rPr>
        <w:t xml:space="preserve">In a move to further strengthen the credit rating process, market regulator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directed credit rating agencies (</w:t>
      </w:r>
      <w:proofErr w:type="spellStart"/>
      <w:r w:rsidRPr="00B74080">
        <w:rPr>
          <w:rFonts w:ascii="Times New Roman" w:hAnsi="Times New Roman" w:cs="Times New Roman"/>
          <w:sz w:val="24"/>
          <w:szCs w:val="24"/>
        </w:rPr>
        <w:t>CRAs</w:t>
      </w:r>
      <w:proofErr w:type="spellEnd"/>
      <w:r w:rsidRPr="00B74080">
        <w:rPr>
          <w:rFonts w:ascii="Times New Roman" w:hAnsi="Times New Roman" w:cs="Times New Roman"/>
          <w:sz w:val="24"/>
          <w:szCs w:val="24"/>
        </w:rPr>
        <w:t>) to downgrade an instrument to ‘non-investment grade with issuer not cooperating (INC) status’, if all outstanding ratings of the issuer remain non-cooperative for more than six months.</w:t>
      </w:r>
    </w:p>
    <w:p w:rsidR="002C5A29" w:rsidRPr="00B74080" w:rsidRDefault="002C5A29" w:rsidP="002C5A29">
      <w:pPr>
        <w:rPr>
          <w:rFonts w:ascii="Times New Roman" w:hAnsi="Times New Roman" w:cs="Times New Roman"/>
          <w:sz w:val="24"/>
          <w:szCs w:val="24"/>
        </w:rPr>
      </w:pPr>
      <w:r w:rsidRPr="00B74080">
        <w:rPr>
          <w:rFonts w:ascii="Times New Roman" w:hAnsi="Times New Roman" w:cs="Times New Roman"/>
          <w:sz w:val="24"/>
          <w:szCs w:val="24"/>
        </w:rPr>
        <w:t xml:space="preserve">If non-cooperation by the issuer continues for a further six months from the date of downgrade to non-investment grade, no </w:t>
      </w:r>
      <w:proofErr w:type="spellStart"/>
      <w:r w:rsidRPr="00B74080">
        <w:rPr>
          <w:rFonts w:ascii="Times New Roman" w:hAnsi="Times New Roman" w:cs="Times New Roman"/>
          <w:sz w:val="24"/>
          <w:szCs w:val="24"/>
        </w:rPr>
        <w:t>CRA</w:t>
      </w:r>
      <w:proofErr w:type="spellEnd"/>
      <w:r w:rsidRPr="00B74080">
        <w:rPr>
          <w:rFonts w:ascii="Times New Roman" w:hAnsi="Times New Roman" w:cs="Times New Roman"/>
          <w:sz w:val="24"/>
          <w:szCs w:val="24"/>
        </w:rPr>
        <w:t xml:space="preserve"> should assign any new ratings to such issuer, until the company resumes cooperation or the rating is withdrawn,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further said.</w:t>
      </w:r>
    </w:p>
    <w:p w:rsidR="002C5A29" w:rsidRPr="00B74080" w:rsidRDefault="002C5A29" w:rsidP="002C5A29">
      <w:pPr>
        <w:rPr>
          <w:rFonts w:ascii="Times New Roman" w:hAnsi="Times New Roman" w:cs="Times New Roman"/>
          <w:sz w:val="24"/>
          <w:szCs w:val="24"/>
        </w:rPr>
      </w:pP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has also relaxed the norms for </w:t>
      </w:r>
      <w:proofErr w:type="spellStart"/>
      <w:r w:rsidRPr="00B74080">
        <w:rPr>
          <w:rFonts w:ascii="Times New Roman" w:hAnsi="Times New Roman" w:cs="Times New Roman"/>
          <w:sz w:val="24"/>
          <w:szCs w:val="24"/>
        </w:rPr>
        <w:t>CRAs</w:t>
      </w:r>
      <w:proofErr w:type="spellEnd"/>
      <w:r w:rsidRPr="00B74080">
        <w:rPr>
          <w:rFonts w:ascii="Times New Roman" w:hAnsi="Times New Roman" w:cs="Times New Roman"/>
          <w:sz w:val="24"/>
          <w:szCs w:val="24"/>
        </w:rPr>
        <w:t xml:space="preserve"> to withdraw from an issue, which has multiple ratings. The rating agency </w:t>
      </w:r>
      <w:proofErr w:type="gramStart"/>
      <w:r w:rsidRPr="00B74080">
        <w:rPr>
          <w:rFonts w:ascii="Times New Roman" w:hAnsi="Times New Roman" w:cs="Times New Roman"/>
          <w:sz w:val="24"/>
          <w:szCs w:val="24"/>
        </w:rPr>
        <w:t>is allowed</w:t>
      </w:r>
      <w:proofErr w:type="gramEnd"/>
      <w:r w:rsidRPr="00B74080">
        <w:rPr>
          <w:rFonts w:ascii="Times New Roman" w:hAnsi="Times New Roman" w:cs="Times New Roman"/>
          <w:sz w:val="24"/>
          <w:szCs w:val="24"/>
        </w:rPr>
        <w:t xml:space="preserve"> to withdraw if it has rated an instrument for three years continuously or for 50 per cent of the tenure of the instrument, whichever is longer, said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w:t>
      </w:r>
    </w:p>
    <w:p w:rsidR="002C5A29" w:rsidRPr="00B74080" w:rsidRDefault="002C5A29" w:rsidP="002C5A29">
      <w:pPr>
        <w:rPr>
          <w:rFonts w:ascii="Times New Roman" w:hAnsi="Times New Roman" w:cs="Times New Roman"/>
          <w:sz w:val="24"/>
          <w:szCs w:val="24"/>
        </w:rPr>
      </w:pPr>
      <w:r w:rsidRPr="00B74080">
        <w:rPr>
          <w:rFonts w:ascii="Times New Roman" w:hAnsi="Times New Roman" w:cs="Times New Roman"/>
          <w:sz w:val="24"/>
          <w:szCs w:val="24"/>
        </w:rPr>
        <w:t xml:space="preserve">Additionally, the </w:t>
      </w:r>
      <w:proofErr w:type="spellStart"/>
      <w:r w:rsidRPr="00B74080">
        <w:rPr>
          <w:rFonts w:ascii="Times New Roman" w:hAnsi="Times New Roman" w:cs="Times New Roman"/>
          <w:sz w:val="24"/>
          <w:szCs w:val="24"/>
        </w:rPr>
        <w:t>CRA</w:t>
      </w:r>
      <w:proofErr w:type="spellEnd"/>
      <w:r w:rsidRPr="00B74080">
        <w:rPr>
          <w:rFonts w:ascii="Times New Roman" w:hAnsi="Times New Roman" w:cs="Times New Roman"/>
          <w:sz w:val="24"/>
          <w:szCs w:val="24"/>
        </w:rPr>
        <w:t xml:space="preserve"> must have received a no-objection certificate from 75 per cent of the bondholders of the outstanding debt for withdrawal of rating. The </w:t>
      </w:r>
      <w:proofErr w:type="spellStart"/>
      <w:r w:rsidRPr="00B74080">
        <w:rPr>
          <w:rFonts w:ascii="Times New Roman" w:hAnsi="Times New Roman" w:cs="Times New Roman"/>
          <w:sz w:val="24"/>
          <w:szCs w:val="24"/>
        </w:rPr>
        <w:t>CRA</w:t>
      </w:r>
      <w:proofErr w:type="spellEnd"/>
      <w:r w:rsidRPr="00B74080">
        <w:rPr>
          <w:rFonts w:ascii="Times New Roman" w:hAnsi="Times New Roman" w:cs="Times New Roman"/>
          <w:sz w:val="24"/>
          <w:szCs w:val="24"/>
        </w:rPr>
        <w:t xml:space="preserve"> must also have received an undertaking from the issuer that another rating is available on that instrument,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said.</w:t>
      </w:r>
    </w:p>
    <w:p w:rsidR="002C5A29" w:rsidRPr="00B74080" w:rsidRDefault="002C5A29" w:rsidP="002C5A29">
      <w:pPr>
        <w:rPr>
          <w:rFonts w:ascii="Times New Roman" w:hAnsi="Times New Roman" w:cs="Times New Roman"/>
          <w:sz w:val="24"/>
          <w:szCs w:val="24"/>
        </w:rPr>
      </w:pPr>
      <w:r w:rsidRPr="00B74080">
        <w:rPr>
          <w:rFonts w:ascii="Times New Roman" w:hAnsi="Times New Roman" w:cs="Times New Roman"/>
          <w:sz w:val="24"/>
          <w:szCs w:val="24"/>
        </w:rPr>
        <w:t xml:space="preserve">Further, at the time of withdrawal, the </w:t>
      </w:r>
      <w:proofErr w:type="spellStart"/>
      <w:r w:rsidRPr="00B74080">
        <w:rPr>
          <w:rFonts w:ascii="Times New Roman" w:hAnsi="Times New Roman" w:cs="Times New Roman"/>
          <w:sz w:val="24"/>
          <w:szCs w:val="24"/>
        </w:rPr>
        <w:t>CRA</w:t>
      </w:r>
      <w:proofErr w:type="spellEnd"/>
      <w:r w:rsidRPr="00B74080">
        <w:rPr>
          <w:rFonts w:ascii="Times New Roman" w:hAnsi="Times New Roman" w:cs="Times New Roman"/>
          <w:sz w:val="24"/>
          <w:szCs w:val="24"/>
        </w:rPr>
        <w:t xml:space="preserve"> should assign a rating to such instrument and issue a press release in the prescribed format mentioning the reason for withdrawal of rating.</w:t>
      </w:r>
    </w:p>
    <w:p w:rsidR="002C5A29" w:rsidRPr="00B74080" w:rsidRDefault="002C5A29" w:rsidP="002C5A29">
      <w:pPr>
        <w:rPr>
          <w:rFonts w:ascii="Times New Roman" w:hAnsi="Times New Roman" w:cs="Times New Roman"/>
          <w:sz w:val="24"/>
          <w:szCs w:val="24"/>
        </w:rPr>
      </w:pPr>
      <w:r w:rsidRPr="00B74080">
        <w:rPr>
          <w:rFonts w:ascii="Times New Roman" w:hAnsi="Times New Roman" w:cs="Times New Roman"/>
          <w:sz w:val="24"/>
          <w:szCs w:val="24"/>
        </w:rPr>
        <w:t xml:space="preserve">Earlier,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had tightened the norms from </w:t>
      </w:r>
      <w:proofErr w:type="spellStart"/>
      <w:r w:rsidRPr="00B74080">
        <w:rPr>
          <w:rFonts w:ascii="Times New Roman" w:hAnsi="Times New Roman" w:cs="Times New Roman"/>
          <w:sz w:val="24"/>
          <w:szCs w:val="24"/>
        </w:rPr>
        <w:t>CRAs</w:t>
      </w:r>
      <w:proofErr w:type="spellEnd"/>
      <w:r w:rsidRPr="00B74080">
        <w:rPr>
          <w:rFonts w:ascii="Times New Roman" w:hAnsi="Times New Roman" w:cs="Times New Roman"/>
          <w:sz w:val="24"/>
          <w:szCs w:val="24"/>
        </w:rPr>
        <w:t xml:space="preserve"> to exit from the issue based on lack of information provided by the issuer. If the company stops cooperating with the </w:t>
      </w:r>
      <w:proofErr w:type="spellStart"/>
      <w:r w:rsidRPr="00B74080">
        <w:rPr>
          <w:rFonts w:ascii="Times New Roman" w:hAnsi="Times New Roman" w:cs="Times New Roman"/>
          <w:sz w:val="24"/>
          <w:szCs w:val="24"/>
        </w:rPr>
        <w:t>CRA</w:t>
      </w:r>
      <w:proofErr w:type="spellEnd"/>
      <w:r w:rsidRPr="00B74080">
        <w:rPr>
          <w:rFonts w:ascii="Times New Roman" w:hAnsi="Times New Roman" w:cs="Times New Roman"/>
          <w:sz w:val="24"/>
          <w:szCs w:val="24"/>
        </w:rPr>
        <w:t xml:space="preserve"> and does not provide information, the </w:t>
      </w:r>
      <w:proofErr w:type="spellStart"/>
      <w:r w:rsidRPr="00B74080">
        <w:rPr>
          <w:rFonts w:ascii="Times New Roman" w:hAnsi="Times New Roman" w:cs="Times New Roman"/>
          <w:sz w:val="24"/>
          <w:szCs w:val="24"/>
        </w:rPr>
        <w:t>CRA</w:t>
      </w:r>
      <w:proofErr w:type="spellEnd"/>
      <w:r w:rsidRPr="00B74080">
        <w:rPr>
          <w:rFonts w:ascii="Times New Roman" w:hAnsi="Times New Roman" w:cs="Times New Roman"/>
          <w:sz w:val="24"/>
          <w:szCs w:val="24"/>
        </w:rPr>
        <w:t xml:space="preserve"> must continue to publish a rating accompanied with the statement, ‘issuer did not cooperate, based on best available information’.</w:t>
      </w:r>
    </w:p>
    <w:p w:rsidR="002C5A29" w:rsidRPr="00B74080" w:rsidRDefault="002C5A29" w:rsidP="002C5A29">
      <w:pPr>
        <w:rPr>
          <w:rFonts w:ascii="Times New Roman" w:hAnsi="Times New Roman" w:cs="Times New Roman"/>
          <w:sz w:val="24"/>
          <w:szCs w:val="24"/>
        </w:rPr>
      </w:pPr>
    </w:p>
    <w:p w:rsidR="002C5A29" w:rsidRDefault="002C5A29" w:rsidP="00F17DA4">
      <w:pPr>
        <w:rPr>
          <w:rFonts w:ascii="Times New Roman" w:hAnsi="Times New Roman" w:cs="Times New Roman"/>
          <w:b/>
          <w:sz w:val="24"/>
          <w:szCs w:val="24"/>
        </w:rPr>
      </w:pPr>
    </w:p>
    <w:p w:rsidR="00B43DBA" w:rsidRDefault="00B43DBA" w:rsidP="00F17DA4">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Pr="00B43DBA">
        <w:rPr>
          <w:rFonts w:ascii="Times New Roman" w:hAnsi="Times New Roman" w:cs="Times New Roman"/>
          <w:b/>
          <w:sz w:val="24"/>
          <w:szCs w:val="24"/>
        </w:rPr>
        <w:t>Relaxations in respect of the timelines for activities of the Depository Participants ("</w:t>
      </w:r>
      <w:proofErr w:type="spellStart"/>
      <w:r w:rsidRPr="00B43DBA">
        <w:rPr>
          <w:rFonts w:ascii="Times New Roman" w:hAnsi="Times New Roman" w:cs="Times New Roman"/>
          <w:b/>
          <w:sz w:val="24"/>
          <w:szCs w:val="24"/>
        </w:rPr>
        <w:t>DPs</w:t>
      </w:r>
      <w:proofErr w:type="spellEnd"/>
      <w:r w:rsidRPr="00B43DBA">
        <w:rPr>
          <w:rFonts w:ascii="Times New Roman" w:hAnsi="Times New Roman" w:cs="Times New Roman"/>
          <w:b/>
          <w:sz w:val="24"/>
          <w:szCs w:val="24"/>
        </w:rPr>
        <w:t xml:space="preserve">"), </w:t>
      </w:r>
      <w:proofErr w:type="spellStart"/>
      <w:r w:rsidRPr="00B43DBA">
        <w:rPr>
          <w:rFonts w:ascii="Times New Roman" w:hAnsi="Times New Roman" w:cs="Times New Roman"/>
          <w:b/>
          <w:sz w:val="24"/>
          <w:szCs w:val="24"/>
        </w:rPr>
        <w:t>RTAs</w:t>
      </w:r>
      <w:proofErr w:type="spellEnd"/>
      <w:r w:rsidRPr="00B43DBA">
        <w:rPr>
          <w:rFonts w:ascii="Times New Roman" w:hAnsi="Times New Roman" w:cs="Times New Roman"/>
          <w:b/>
          <w:sz w:val="24"/>
          <w:szCs w:val="24"/>
        </w:rPr>
        <w:t xml:space="preserve">, Issuers, </w:t>
      </w:r>
      <w:proofErr w:type="spellStart"/>
      <w:r w:rsidRPr="00B43DBA">
        <w:rPr>
          <w:rFonts w:ascii="Times New Roman" w:hAnsi="Times New Roman" w:cs="Times New Roman"/>
          <w:b/>
          <w:sz w:val="24"/>
          <w:szCs w:val="24"/>
        </w:rPr>
        <w:t>KYC</w:t>
      </w:r>
      <w:proofErr w:type="spellEnd"/>
      <w:r w:rsidRPr="00B43DBA">
        <w:rPr>
          <w:rFonts w:ascii="Times New Roman" w:hAnsi="Times New Roman" w:cs="Times New Roman"/>
          <w:b/>
          <w:sz w:val="24"/>
          <w:szCs w:val="24"/>
        </w:rPr>
        <w:t xml:space="preserve"> Registration Agencies ("</w:t>
      </w:r>
      <w:proofErr w:type="spellStart"/>
      <w:r w:rsidRPr="00B43DBA">
        <w:rPr>
          <w:rFonts w:ascii="Times New Roman" w:hAnsi="Times New Roman" w:cs="Times New Roman"/>
          <w:b/>
          <w:sz w:val="24"/>
          <w:szCs w:val="24"/>
        </w:rPr>
        <w:t>KRAs</w:t>
      </w:r>
      <w:proofErr w:type="spellEnd"/>
      <w:r w:rsidRPr="00B43DBA">
        <w:rPr>
          <w:rFonts w:ascii="Times New Roman" w:hAnsi="Times New Roman" w:cs="Times New Roman"/>
          <w:b/>
          <w:sz w:val="24"/>
          <w:szCs w:val="24"/>
        </w:rPr>
        <w:t>"), Stock Brokers</w:t>
      </w:r>
      <w:r w:rsidR="007F2C63">
        <w:rPr>
          <w:rFonts w:ascii="Times New Roman" w:hAnsi="Times New Roman" w:cs="Times New Roman"/>
          <w:b/>
          <w:sz w:val="24"/>
          <w:szCs w:val="24"/>
        </w:rPr>
        <w:t>.</w:t>
      </w:r>
      <w:proofErr w:type="gramEnd"/>
    </w:p>
    <w:p w:rsidR="007F2C63" w:rsidRDefault="007F2C63" w:rsidP="00F17DA4">
      <w:pPr>
        <w:rPr>
          <w:rFonts w:ascii="Times New Roman" w:hAnsi="Times New Roman" w:cs="Times New Roman"/>
          <w:sz w:val="24"/>
          <w:szCs w:val="24"/>
        </w:rPr>
      </w:pPr>
      <w:r w:rsidRPr="007F2C63">
        <w:rPr>
          <w:rFonts w:ascii="Times New Roman" w:hAnsi="Times New Roman" w:cs="Times New Roman"/>
          <w:sz w:val="24"/>
          <w:szCs w:val="24"/>
        </w:rPr>
        <w:t xml:space="preserve">Vide a Circular dated April 16, 2020, </w:t>
      </w:r>
      <w:proofErr w:type="spellStart"/>
      <w:r w:rsidRPr="007F2C63">
        <w:rPr>
          <w:rFonts w:ascii="Times New Roman" w:hAnsi="Times New Roman" w:cs="Times New Roman"/>
          <w:sz w:val="24"/>
          <w:szCs w:val="24"/>
        </w:rPr>
        <w:t>SEBI</w:t>
      </w:r>
      <w:proofErr w:type="spellEnd"/>
      <w:r w:rsidRPr="007F2C63">
        <w:rPr>
          <w:rFonts w:ascii="Times New Roman" w:hAnsi="Times New Roman" w:cs="Times New Roman"/>
          <w:sz w:val="24"/>
          <w:szCs w:val="24"/>
        </w:rPr>
        <w:t xml:space="preserve"> has provided for certain relaxations in the timelines of some compliance requirements relating to </w:t>
      </w:r>
      <w:proofErr w:type="spellStart"/>
      <w:r w:rsidRPr="007F2C63">
        <w:rPr>
          <w:rFonts w:ascii="Times New Roman" w:hAnsi="Times New Roman" w:cs="Times New Roman"/>
          <w:sz w:val="24"/>
          <w:szCs w:val="24"/>
        </w:rPr>
        <w:t>DPs</w:t>
      </w:r>
      <w:proofErr w:type="spellEnd"/>
      <w:r w:rsidRPr="007F2C63">
        <w:rPr>
          <w:rFonts w:ascii="Times New Roman" w:hAnsi="Times New Roman" w:cs="Times New Roman"/>
          <w:sz w:val="24"/>
          <w:szCs w:val="24"/>
        </w:rPr>
        <w:t xml:space="preserve">, </w:t>
      </w:r>
      <w:proofErr w:type="spellStart"/>
      <w:r w:rsidRPr="007F2C63">
        <w:rPr>
          <w:rFonts w:ascii="Times New Roman" w:hAnsi="Times New Roman" w:cs="Times New Roman"/>
          <w:sz w:val="24"/>
          <w:szCs w:val="24"/>
        </w:rPr>
        <w:t>RTAs</w:t>
      </w:r>
      <w:proofErr w:type="spellEnd"/>
      <w:r w:rsidRPr="007F2C63">
        <w:rPr>
          <w:rFonts w:ascii="Times New Roman" w:hAnsi="Times New Roman" w:cs="Times New Roman"/>
          <w:sz w:val="24"/>
          <w:szCs w:val="24"/>
        </w:rPr>
        <w:t xml:space="preserve">, issuers, </w:t>
      </w:r>
      <w:proofErr w:type="spellStart"/>
      <w:r w:rsidRPr="007F2C63">
        <w:rPr>
          <w:rFonts w:ascii="Times New Roman" w:hAnsi="Times New Roman" w:cs="Times New Roman"/>
          <w:sz w:val="24"/>
          <w:szCs w:val="24"/>
        </w:rPr>
        <w:t>KRAs</w:t>
      </w:r>
      <w:proofErr w:type="spellEnd"/>
      <w:r w:rsidRPr="007F2C63">
        <w:rPr>
          <w:rFonts w:ascii="Times New Roman" w:hAnsi="Times New Roman" w:cs="Times New Roman"/>
          <w:sz w:val="24"/>
          <w:szCs w:val="24"/>
        </w:rPr>
        <w:t xml:space="preserve">, and stock brokers. The Circular prescribes that the </w:t>
      </w:r>
      <w:proofErr w:type="gramStart"/>
      <w:r w:rsidRPr="007F2C63">
        <w:rPr>
          <w:rFonts w:ascii="Times New Roman" w:hAnsi="Times New Roman" w:cs="Times New Roman"/>
          <w:sz w:val="24"/>
          <w:szCs w:val="24"/>
        </w:rPr>
        <w:t>time period</w:t>
      </w:r>
      <w:proofErr w:type="gramEnd"/>
      <w:r w:rsidRPr="007F2C63">
        <w:rPr>
          <w:rFonts w:ascii="Times New Roman" w:hAnsi="Times New Roman" w:cs="Times New Roman"/>
          <w:sz w:val="24"/>
          <w:szCs w:val="24"/>
        </w:rPr>
        <w:t xml:space="preserve"> between March 23, 2020 and May 17, 2020, would now be excluded while computing timelines for the following activities:</w:t>
      </w:r>
    </w:p>
    <w:p w:rsidR="007F2C63" w:rsidRDefault="007F2C63" w:rsidP="00F17DA4">
      <w:pPr>
        <w:pStyle w:val="ListParagraph"/>
        <w:numPr>
          <w:ilvl w:val="0"/>
          <w:numId w:val="4"/>
        </w:numPr>
        <w:rPr>
          <w:rFonts w:ascii="Times New Roman" w:hAnsi="Times New Roman" w:cs="Times New Roman"/>
          <w:sz w:val="24"/>
          <w:szCs w:val="24"/>
        </w:rPr>
      </w:pPr>
      <w:r w:rsidRPr="007F2C63">
        <w:rPr>
          <w:rFonts w:ascii="Times New Roman" w:hAnsi="Times New Roman" w:cs="Times New Roman"/>
          <w:sz w:val="24"/>
          <w:szCs w:val="24"/>
        </w:rPr>
        <w:t>Processing of the dematerialisation request form; and</w:t>
      </w:r>
    </w:p>
    <w:p w:rsidR="007F2C63" w:rsidRDefault="007F2C63" w:rsidP="00F17DA4">
      <w:pPr>
        <w:pStyle w:val="ListParagraph"/>
        <w:numPr>
          <w:ilvl w:val="0"/>
          <w:numId w:val="4"/>
        </w:numPr>
        <w:rPr>
          <w:rFonts w:ascii="Times New Roman" w:hAnsi="Times New Roman" w:cs="Times New Roman"/>
          <w:sz w:val="24"/>
          <w:szCs w:val="24"/>
        </w:rPr>
      </w:pPr>
      <w:proofErr w:type="gramStart"/>
      <w:r w:rsidRPr="007F2C63">
        <w:rPr>
          <w:rFonts w:ascii="Times New Roman" w:hAnsi="Times New Roman" w:cs="Times New Roman"/>
          <w:sz w:val="24"/>
          <w:szCs w:val="24"/>
        </w:rPr>
        <w:t>Uploading the Know Your Client ("</w:t>
      </w:r>
      <w:proofErr w:type="spellStart"/>
      <w:r w:rsidRPr="007F2C63">
        <w:rPr>
          <w:rFonts w:ascii="Times New Roman" w:hAnsi="Times New Roman" w:cs="Times New Roman"/>
          <w:sz w:val="24"/>
          <w:szCs w:val="24"/>
        </w:rPr>
        <w:t>KYC</w:t>
      </w:r>
      <w:proofErr w:type="spellEnd"/>
      <w:r w:rsidRPr="007F2C63">
        <w:rPr>
          <w:rFonts w:ascii="Times New Roman" w:hAnsi="Times New Roman" w:cs="Times New Roman"/>
          <w:sz w:val="24"/>
          <w:szCs w:val="24"/>
        </w:rPr>
        <w:t xml:space="preserve">") application form and other relevant and supporting documents on the system of the </w:t>
      </w:r>
      <w:proofErr w:type="spellStart"/>
      <w:r w:rsidRPr="007F2C63">
        <w:rPr>
          <w:rFonts w:ascii="Times New Roman" w:hAnsi="Times New Roman" w:cs="Times New Roman"/>
          <w:sz w:val="24"/>
          <w:szCs w:val="24"/>
        </w:rPr>
        <w:t>KRAs</w:t>
      </w:r>
      <w:proofErr w:type="spellEnd"/>
      <w:r w:rsidRPr="007F2C63">
        <w:rPr>
          <w:rFonts w:ascii="Times New Roman" w:hAnsi="Times New Roman" w:cs="Times New Roman"/>
          <w:sz w:val="24"/>
          <w:szCs w:val="24"/>
        </w:rPr>
        <w:t>.</w:t>
      </w:r>
      <w:proofErr w:type="gramEnd"/>
    </w:p>
    <w:p w:rsidR="007F2C63" w:rsidRDefault="007F2C63" w:rsidP="00F17DA4">
      <w:pPr>
        <w:ind w:left="360"/>
        <w:rPr>
          <w:rFonts w:ascii="Times New Roman" w:hAnsi="Times New Roman" w:cs="Times New Roman"/>
          <w:sz w:val="24"/>
          <w:szCs w:val="24"/>
        </w:rPr>
      </w:pPr>
      <w:r w:rsidRPr="007F2C63">
        <w:rPr>
          <w:rFonts w:ascii="Times New Roman" w:hAnsi="Times New Roman" w:cs="Times New Roman"/>
          <w:sz w:val="24"/>
          <w:szCs w:val="24"/>
        </w:rPr>
        <w:t xml:space="preserve">Further, a period of 15 days from May 17, 2020, has also been granted to </w:t>
      </w:r>
      <w:proofErr w:type="spellStart"/>
      <w:r w:rsidRPr="007F2C63">
        <w:rPr>
          <w:rFonts w:ascii="Times New Roman" w:hAnsi="Times New Roman" w:cs="Times New Roman"/>
          <w:sz w:val="24"/>
          <w:szCs w:val="24"/>
        </w:rPr>
        <w:t>SEBI</w:t>
      </w:r>
      <w:proofErr w:type="spellEnd"/>
      <w:r w:rsidRPr="007F2C63">
        <w:rPr>
          <w:rFonts w:ascii="Times New Roman" w:hAnsi="Times New Roman" w:cs="Times New Roman"/>
          <w:sz w:val="24"/>
          <w:szCs w:val="24"/>
        </w:rPr>
        <w:t xml:space="preserve"> intermediaries </w:t>
      </w:r>
      <w:proofErr w:type="gramStart"/>
      <w:r w:rsidRPr="007F2C63">
        <w:rPr>
          <w:rFonts w:ascii="Times New Roman" w:hAnsi="Times New Roman" w:cs="Times New Roman"/>
          <w:sz w:val="24"/>
          <w:szCs w:val="24"/>
        </w:rPr>
        <w:t>so as to</w:t>
      </w:r>
      <w:proofErr w:type="gramEnd"/>
      <w:r w:rsidRPr="007F2C63">
        <w:rPr>
          <w:rFonts w:ascii="Times New Roman" w:hAnsi="Times New Roman" w:cs="Times New Roman"/>
          <w:sz w:val="24"/>
          <w:szCs w:val="24"/>
        </w:rPr>
        <w:t xml:space="preserve"> clear their backlog.</w:t>
      </w:r>
    </w:p>
    <w:p w:rsidR="007F2C63" w:rsidRDefault="007F2C63" w:rsidP="00F17DA4">
      <w:pPr>
        <w:ind w:left="360"/>
        <w:rPr>
          <w:rFonts w:ascii="Times New Roman" w:hAnsi="Times New Roman" w:cs="Times New Roman"/>
          <w:sz w:val="24"/>
          <w:szCs w:val="24"/>
        </w:rPr>
      </w:pPr>
    </w:p>
    <w:p w:rsidR="00E5541E" w:rsidRPr="00E5541E" w:rsidRDefault="00E5541E" w:rsidP="00F17DA4">
      <w:pPr>
        <w:ind w:left="360"/>
        <w:rPr>
          <w:rFonts w:ascii="Times New Roman" w:hAnsi="Times New Roman" w:cs="Times New Roman"/>
          <w:b/>
          <w:sz w:val="24"/>
          <w:szCs w:val="24"/>
        </w:rPr>
      </w:pPr>
      <w:r w:rsidRPr="00E5541E">
        <w:rPr>
          <w:rFonts w:ascii="Times New Roman" w:hAnsi="Times New Roman" w:cs="Times New Roman"/>
          <w:b/>
          <w:sz w:val="24"/>
          <w:szCs w:val="24"/>
        </w:rPr>
        <w:t>Reduced burden on registrars to issue and share transfer agents ("</w:t>
      </w:r>
      <w:proofErr w:type="spellStart"/>
      <w:r w:rsidRPr="00E5541E">
        <w:rPr>
          <w:rFonts w:ascii="Times New Roman" w:hAnsi="Times New Roman" w:cs="Times New Roman"/>
          <w:b/>
          <w:sz w:val="24"/>
          <w:szCs w:val="24"/>
        </w:rPr>
        <w:t>RTAs</w:t>
      </w:r>
      <w:proofErr w:type="spellEnd"/>
      <w:r w:rsidRPr="00E5541E">
        <w:rPr>
          <w:rFonts w:ascii="Times New Roman" w:hAnsi="Times New Roman" w:cs="Times New Roman"/>
          <w:b/>
          <w:sz w:val="24"/>
          <w:szCs w:val="24"/>
        </w:rPr>
        <w:t>")</w:t>
      </w:r>
    </w:p>
    <w:p w:rsidR="00E5541E" w:rsidRDefault="00E5541E" w:rsidP="002C5A29">
      <w:pPr>
        <w:ind w:left="360"/>
        <w:rPr>
          <w:rFonts w:ascii="Times New Roman" w:hAnsi="Times New Roman" w:cs="Times New Roman"/>
          <w:sz w:val="24"/>
          <w:szCs w:val="24"/>
        </w:rPr>
      </w:pPr>
      <w:r w:rsidRPr="00E5541E">
        <w:rPr>
          <w:rFonts w:ascii="Times New Roman" w:hAnsi="Times New Roman" w:cs="Times New Roman"/>
          <w:sz w:val="24"/>
          <w:szCs w:val="24"/>
        </w:rPr>
        <w:t xml:space="preserve">In its Circular dated April 13, 2020, </w:t>
      </w:r>
      <w:proofErr w:type="spellStart"/>
      <w:r w:rsidRPr="00E5541E">
        <w:rPr>
          <w:rFonts w:ascii="Times New Roman" w:hAnsi="Times New Roman" w:cs="Times New Roman"/>
          <w:sz w:val="24"/>
          <w:szCs w:val="24"/>
        </w:rPr>
        <w:t>SEBI</w:t>
      </w:r>
      <w:proofErr w:type="spellEnd"/>
      <w:r w:rsidRPr="00E5541E">
        <w:rPr>
          <w:rFonts w:ascii="Times New Roman" w:hAnsi="Times New Roman" w:cs="Times New Roman"/>
          <w:sz w:val="24"/>
          <w:szCs w:val="24"/>
        </w:rPr>
        <w:t xml:space="preserve"> extended the time period for completion of certain activities that were required to be carried out by the </w:t>
      </w:r>
      <w:proofErr w:type="spellStart"/>
      <w:r w:rsidRPr="00E5541E">
        <w:rPr>
          <w:rFonts w:ascii="Times New Roman" w:hAnsi="Times New Roman" w:cs="Times New Roman"/>
          <w:sz w:val="24"/>
          <w:szCs w:val="24"/>
        </w:rPr>
        <w:t>RTAs</w:t>
      </w:r>
      <w:proofErr w:type="spellEnd"/>
      <w:r w:rsidRPr="00E5541E">
        <w:rPr>
          <w:rFonts w:ascii="Times New Roman" w:hAnsi="Times New Roman" w:cs="Times New Roman"/>
          <w:sz w:val="24"/>
          <w:szCs w:val="24"/>
        </w:rPr>
        <w:t xml:space="preserve"> holding category I or II, </w:t>
      </w:r>
      <w:proofErr w:type="spellStart"/>
      <w:r w:rsidRPr="00E5541E">
        <w:rPr>
          <w:rFonts w:ascii="Times New Roman" w:hAnsi="Times New Roman" w:cs="Times New Roman"/>
          <w:sz w:val="24"/>
          <w:szCs w:val="24"/>
        </w:rPr>
        <w:t>SEBI</w:t>
      </w:r>
      <w:proofErr w:type="spellEnd"/>
      <w:r w:rsidRPr="00E5541E">
        <w:rPr>
          <w:rFonts w:ascii="Times New Roman" w:hAnsi="Times New Roman" w:cs="Times New Roman"/>
          <w:sz w:val="24"/>
          <w:szCs w:val="24"/>
        </w:rPr>
        <w:t xml:space="preserve"> registration or issuer companies, within 21 days, in addition to the prescribed time period. Such activities </w:t>
      </w:r>
      <w:proofErr w:type="gramStart"/>
      <w:r w:rsidRPr="00E5541E">
        <w:rPr>
          <w:rFonts w:ascii="Times New Roman" w:hAnsi="Times New Roman" w:cs="Times New Roman"/>
          <w:sz w:val="24"/>
          <w:szCs w:val="24"/>
        </w:rPr>
        <w:t>include:</w:t>
      </w:r>
      <w:proofErr w:type="gramEnd"/>
      <w:r w:rsidRPr="00E5541E">
        <w:rPr>
          <w:rFonts w:ascii="Times New Roman" w:hAnsi="Times New Roman" w:cs="Times New Roman"/>
          <w:sz w:val="24"/>
          <w:szCs w:val="24"/>
        </w:rPr>
        <w:t xml:space="preserve"> process of re-materialisation and/or transmission request, processing of issuance of duplicate share certificates, processing of requests for deletion/ change in name etc., handling investor grievances/SCORES complaints, audit and compliance reports, and other similar necessities.</w:t>
      </w:r>
    </w:p>
    <w:p w:rsidR="005B6154" w:rsidRDefault="005B6154" w:rsidP="00F17DA4">
      <w:pPr>
        <w:ind w:left="360"/>
        <w:rPr>
          <w:rFonts w:ascii="Times New Roman" w:hAnsi="Times New Roman" w:cs="Times New Roman"/>
          <w:sz w:val="24"/>
          <w:szCs w:val="24"/>
        </w:rPr>
      </w:pPr>
    </w:p>
    <w:p w:rsidR="00E5541E" w:rsidRPr="00E5541E" w:rsidRDefault="00E5541E" w:rsidP="002C5A29">
      <w:pPr>
        <w:shd w:val="clear" w:color="auto" w:fill="FFFFFF"/>
        <w:spacing w:before="100" w:beforeAutospacing="1" w:after="100" w:afterAutospacing="1" w:line="240" w:lineRule="auto"/>
        <w:rPr>
          <w:rFonts w:ascii="Times New Roman" w:hAnsi="Times New Roman" w:cs="Times New Roman"/>
          <w:color w:val="212529"/>
          <w:sz w:val="24"/>
          <w:szCs w:val="24"/>
        </w:rPr>
      </w:pPr>
      <w:r w:rsidRPr="00E5541E">
        <w:rPr>
          <w:rStyle w:val="Strong"/>
          <w:rFonts w:ascii="Times New Roman" w:hAnsi="Times New Roman" w:cs="Times New Roman"/>
          <w:color w:val="212529"/>
          <w:sz w:val="24"/>
          <w:szCs w:val="24"/>
        </w:rPr>
        <w:t>Reduction in compliance burden on trading members / clearing members</w:t>
      </w:r>
    </w:p>
    <w:p w:rsidR="00E5541E" w:rsidRPr="004120B7" w:rsidRDefault="00E5541E" w:rsidP="00F17DA4">
      <w:pPr>
        <w:pStyle w:val="NormalWeb"/>
        <w:shd w:val="clear" w:color="auto" w:fill="FFFFFF"/>
        <w:spacing w:before="0" w:beforeAutospacing="0"/>
        <w:jc w:val="both"/>
      </w:pPr>
      <w:r w:rsidRPr="004120B7">
        <w:t>Vide its </w:t>
      </w:r>
      <w:hyperlink r:id="rId5" w:tgtFrame="_blank" w:history="1">
        <w:r w:rsidRPr="004120B7">
          <w:rPr>
            <w:rStyle w:val="Hyperlink"/>
            <w:color w:val="auto"/>
            <w:u w:val="none"/>
          </w:rPr>
          <w:t>Circular</w:t>
        </w:r>
      </w:hyperlink>
      <w:r w:rsidRPr="004120B7">
        <w:t xml:space="preserve"> dated April 16, </w:t>
      </w:r>
      <w:proofErr w:type="gramStart"/>
      <w:r w:rsidRPr="004120B7">
        <w:t>2020,</w:t>
      </w:r>
      <w:proofErr w:type="gramEnd"/>
      <w:r w:rsidRPr="004120B7">
        <w:t xml:space="preserve"> </w:t>
      </w:r>
      <w:proofErr w:type="spellStart"/>
      <w:r w:rsidRPr="004120B7">
        <w:t>SEBI</w:t>
      </w:r>
      <w:proofErr w:type="spellEnd"/>
      <w:r w:rsidRPr="004120B7">
        <w:t xml:space="preserve"> has extended the due dates as follows for the herein mentioned regulatory filings and compliances required by the trading members and clearing members:</w:t>
      </w:r>
    </w:p>
    <w:p w:rsidR="00E5541E" w:rsidRPr="004120B7" w:rsidRDefault="00E5541E" w:rsidP="00F17DA4">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4120B7">
        <w:rPr>
          <w:rFonts w:ascii="Times New Roman" w:hAnsi="Times New Roman" w:cs="Times New Roman"/>
          <w:sz w:val="24"/>
          <w:szCs w:val="24"/>
        </w:rPr>
        <w:t>May 17, 2020: penalty for non/short collection of upfront margins in cash settlements and maintaining call recordings of orders / instructions received from the concerned clients;</w:t>
      </w:r>
    </w:p>
    <w:p w:rsidR="00E5541E" w:rsidRPr="004120B7" w:rsidRDefault="00E5541E" w:rsidP="00F17DA4">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4120B7">
        <w:rPr>
          <w:rFonts w:ascii="Times New Roman" w:hAnsi="Times New Roman" w:cs="Times New Roman"/>
          <w:sz w:val="24"/>
          <w:szCs w:val="24"/>
        </w:rPr>
        <w:t>May 31, 2020: client funding reporting and artificial intelligence and machine learning application reporting;</w:t>
      </w:r>
    </w:p>
    <w:p w:rsidR="00E5541E" w:rsidRPr="004120B7" w:rsidRDefault="00E5541E" w:rsidP="00F17DA4">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4120B7">
        <w:rPr>
          <w:rFonts w:ascii="Times New Roman" w:hAnsi="Times New Roman" w:cs="Times New Roman"/>
          <w:sz w:val="24"/>
          <w:szCs w:val="24"/>
        </w:rPr>
        <w:t>June 30, 2020: compliance certificates for margin trading for the capital market segment, risk based supervision, internal audit report for half year (ending March 31, 2020), net worth certificate in margin trading for capital markets segment for half year (ending March 31, 2020), and net worth certificate for all members for half year (ending March, 2020); and</w:t>
      </w:r>
    </w:p>
    <w:p w:rsidR="00E5541E" w:rsidRPr="004120B7" w:rsidRDefault="00E5541E" w:rsidP="00F17DA4">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proofErr w:type="gramStart"/>
      <w:r w:rsidRPr="004120B7">
        <w:rPr>
          <w:rFonts w:ascii="Times New Roman" w:hAnsi="Times New Roman" w:cs="Times New Roman"/>
          <w:sz w:val="24"/>
          <w:szCs w:val="24"/>
        </w:rPr>
        <w:t>July 31, 2020: system audit report.</w:t>
      </w:r>
      <w:proofErr w:type="gramEnd"/>
    </w:p>
    <w:p w:rsidR="00943DF7" w:rsidRPr="004120B7" w:rsidRDefault="00943DF7" w:rsidP="00F17DA4">
      <w:pPr>
        <w:shd w:val="clear" w:color="auto" w:fill="FFFFFF"/>
        <w:spacing w:before="100" w:beforeAutospacing="1" w:after="100" w:afterAutospacing="1" w:line="240" w:lineRule="auto"/>
        <w:ind w:left="720"/>
        <w:rPr>
          <w:rFonts w:ascii="Times New Roman" w:hAnsi="Times New Roman" w:cs="Times New Roman"/>
          <w:sz w:val="24"/>
          <w:szCs w:val="24"/>
        </w:rPr>
      </w:pPr>
    </w:p>
    <w:p w:rsidR="00BB5D24" w:rsidRPr="004120B7" w:rsidRDefault="00BB5D24" w:rsidP="00F17DA4">
      <w:pPr>
        <w:pStyle w:val="NormalWeb"/>
        <w:shd w:val="clear" w:color="auto" w:fill="FFFFFF"/>
        <w:spacing w:before="0" w:beforeAutospacing="0"/>
        <w:jc w:val="both"/>
      </w:pPr>
      <w:r w:rsidRPr="004120B7">
        <w:t>Additionally, by another </w:t>
      </w:r>
      <w:hyperlink r:id="rId6" w:tgtFrame="_blank" w:history="1">
        <w:r w:rsidRPr="004120B7">
          <w:rPr>
            <w:rStyle w:val="Hyperlink"/>
            <w:color w:val="auto"/>
            <w:u w:val="none"/>
          </w:rPr>
          <w:t>Circular</w:t>
        </w:r>
      </w:hyperlink>
      <w:r w:rsidRPr="004120B7">
        <w:t xml:space="preserve"> dated April 21, 2020, </w:t>
      </w:r>
      <w:proofErr w:type="spellStart"/>
      <w:r w:rsidRPr="004120B7">
        <w:t>SEBI</w:t>
      </w:r>
      <w:proofErr w:type="spellEnd"/>
      <w:r w:rsidRPr="004120B7">
        <w:t xml:space="preserve"> provided the following extended </w:t>
      </w:r>
      <w:proofErr w:type="gramStart"/>
      <w:r w:rsidRPr="004120B7">
        <w:t>relaxations for certain</w:t>
      </w:r>
      <w:proofErr w:type="gramEnd"/>
      <w:r w:rsidRPr="004120B7">
        <w:t xml:space="preserve"> compliance requirements of trading members and clearing members:</w:t>
      </w:r>
    </w:p>
    <w:p w:rsidR="003549E2" w:rsidRDefault="00BB5D24" w:rsidP="00F17DA4">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4120B7">
        <w:rPr>
          <w:rFonts w:ascii="Times New Roman" w:hAnsi="Times New Roman" w:cs="Times New Roman"/>
          <w:sz w:val="24"/>
          <w:szCs w:val="24"/>
        </w:rPr>
        <w:t>Delay in submission of the herein below mentioned reports would not attract any penal provisions until May 17, 2020: (a) submissions towards weekly monitoring of client funds under the provisions of enhanced supervision; (b) submissions of monthly basis data towards clients' and fund balance under the provisions of enhanced supervision; and (c) daily margin trading reports.</w:t>
      </w:r>
    </w:p>
    <w:p w:rsidR="00BC114B" w:rsidRPr="00BC114B" w:rsidRDefault="00BC114B" w:rsidP="00F17DA4">
      <w:pPr>
        <w:shd w:val="clear" w:color="auto" w:fill="FFFFFF"/>
        <w:spacing w:before="100" w:beforeAutospacing="1" w:after="100" w:afterAutospacing="1" w:line="240" w:lineRule="auto"/>
        <w:ind w:left="720"/>
        <w:rPr>
          <w:rFonts w:ascii="Times New Roman" w:hAnsi="Times New Roman" w:cs="Times New Roman"/>
          <w:sz w:val="24"/>
          <w:szCs w:val="24"/>
        </w:rPr>
      </w:pPr>
    </w:p>
    <w:p w:rsidR="00E4103D" w:rsidRPr="005B6154" w:rsidRDefault="00BB5D24" w:rsidP="00F17DA4">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4120B7">
        <w:rPr>
          <w:rFonts w:ascii="Times New Roman" w:hAnsi="Times New Roman" w:cs="Times New Roman"/>
          <w:sz w:val="24"/>
          <w:szCs w:val="24"/>
        </w:rPr>
        <w:t>The date for the following compliances have also been extended by 1 month from their existing due dates: (a) updates in income tax permanent account number of key managerial personnel, and or directors; and (b) issuance of annual global statement for clients.</w:t>
      </w:r>
    </w:p>
    <w:p w:rsidR="00943DF7" w:rsidRPr="00E5541E" w:rsidRDefault="00E13056" w:rsidP="00F17DA4">
      <w:pPr>
        <w:shd w:val="clear" w:color="auto" w:fill="FFFFFF"/>
        <w:spacing w:before="100" w:beforeAutospacing="1" w:after="100" w:afterAutospacing="1" w:line="240" w:lineRule="auto"/>
        <w:ind w:left="720"/>
        <w:rPr>
          <w:rFonts w:ascii="Times New Roman" w:hAnsi="Times New Roman" w:cs="Times New Roman"/>
          <w:color w:val="212529"/>
          <w:sz w:val="24"/>
          <w:szCs w:val="24"/>
        </w:rPr>
      </w:pPr>
      <w:r>
        <w:rPr>
          <w:rFonts w:ascii="Times New Roman" w:hAnsi="Times New Roman" w:cs="Times New Roman"/>
          <w:color w:val="212529"/>
          <w:sz w:val="24"/>
          <w:szCs w:val="24"/>
        </w:rPr>
        <w:t xml:space="preserve">For more details, </w:t>
      </w:r>
      <w:r w:rsidR="005139E6">
        <w:rPr>
          <w:rFonts w:ascii="Times New Roman" w:hAnsi="Times New Roman" w:cs="Times New Roman"/>
          <w:color w:val="212529"/>
          <w:sz w:val="24"/>
          <w:szCs w:val="24"/>
        </w:rPr>
        <w:t xml:space="preserve">you may access </w:t>
      </w:r>
      <w:proofErr w:type="spellStart"/>
      <w:r w:rsidR="005139E6">
        <w:rPr>
          <w:rFonts w:ascii="Times New Roman" w:hAnsi="Times New Roman" w:cs="Times New Roman"/>
          <w:color w:val="212529"/>
          <w:sz w:val="24"/>
          <w:szCs w:val="24"/>
        </w:rPr>
        <w:t>SEBI</w:t>
      </w:r>
      <w:proofErr w:type="spellEnd"/>
      <w:r w:rsidR="005139E6">
        <w:rPr>
          <w:rFonts w:ascii="Times New Roman" w:hAnsi="Times New Roman" w:cs="Times New Roman"/>
          <w:color w:val="212529"/>
          <w:sz w:val="24"/>
          <w:szCs w:val="24"/>
        </w:rPr>
        <w:t xml:space="preserve"> website: </w:t>
      </w:r>
      <w:hyperlink r:id="rId7" w:history="1">
        <w:r w:rsidR="005139E6">
          <w:rPr>
            <w:rStyle w:val="Hyperlink"/>
          </w:rPr>
          <w:t>https://www.sebi.gov.in/</w:t>
        </w:r>
      </w:hyperlink>
    </w:p>
    <w:p w:rsidR="00E5541E" w:rsidRDefault="00E5541E" w:rsidP="00F17DA4">
      <w:pPr>
        <w:ind w:left="360"/>
        <w:rPr>
          <w:rFonts w:ascii="Times New Roman" w:hAnsi="Times New Roman" w:cs="Times New Roman"/>
          <w:sz w:val="24"/>
          <w:szCs w:val="24"/>
        </w:rPr>
      </w:pPr>
    </w:p>
    <w:p w:rsidR="000166C1" w:rsidRDefault="000166C1" w:rsidP="00F17DA4">
      <w:pPr>
        <w:pStyle w:val="Heading3"/>
        <w:shd w:val="clear" w:color="auto" w:fill="FFFFFF"/>
        <w:spacing w:before="0"/>
        <w:rPr>
          <w:rFonts w:ascii="Times New Roman" w:hAnsi="Times New Roman" w:cs="Times New Roman"/>
          <w:bCs w:val="0"/>
          <w:color w:val="212529"/>
          <w:sz w:val="24"/>
          <w:szCs w:val="24"/>
        </w:rPr>
      </w:pPr>
    </w:p>
    <w:p w:rsidR="00133486" w:rsidRPr="000166C1" w:rsidRDefault="00133486" w:rsidP="00F17DA4">
      <w:pPr>
        <w:pStyle w:val="Heading3"/>
        <w:shd w:val="clear" w:color="auto" w:fill="FFFFFF"/>
        <w:spacing w:before="0"/>
        <w:rPr>
          <w:rFonts w:ascii="Times New Roman" w:hAnsi="Times New Roman" w:cs="Times New Roman"/>
          <w:bCs w:val="0"/>
          <w:color w:val="212529"/>
          <w:sz w:val="24"/>
          <w:szCs w:val="24"/>
        </w:rPr>
      </w:pPr>
      <w:r w:rsidRPr="00133486">
        <w:rPr>
          <w:rFonts w:ascii="Times New Roman" w:hAnsi="Times New Roman" w:cs="Times New Roman"/>
          <w:bCs w:val="0"/>
          <w:color w:val="212529"/>
          <w:sz w:val="24"/>
          <w:szCs w:val="24"/>
        </w:rPr>
        <w:t>Framework for Regulatory Sandbox</w:t>
      </w:r>
    </w:p>
    <w:p w:rsidR="00133486" w:rsidRPr="0023493F" w:rsidRDefault="00133486" w:rsidP="00F17DA4">
      <w:pPr>
        <w:pStyle w:val="NormalWeb"/>
        <w:shd w:val="clear" w:color="auto" w:fill="FFFFFF"/>
        <w:spacing w:before="0" w:beforeAutospacing="0"/>
        <w:jc w:val="both"/>
      </w:pPr>
      <w:r w:rsidRPr="0023493F">
        <w:t>On 5 June 2020, the Securities and Exchange Board of India (“</w:t>
      </w:r>
      <w:proofErr w:type="spellStart"/>
      <w:r w:rsidRPr="0023493F">
        <w:rPr>
          <w:rStyle w:val="Strong"/>
        </w:rPr>
        <w:t>SEBI</w:t>
      </w:r>
      <w:proofErr w:type="spellEnd"/>
      <w:r w:rsidRPr="0023493F">
        <w:t xml:space="preserve">”) introduced a framework for “Regulatory Sandbox”. Under this sandbox framework, entities regulated by </w:t>
      </w:r>
      <w:proofErr w:type="spellStart"/>
      <w:r w:rsidRPr="0023493F">
        <w:t>SEBI</w:t>
      </w:r>
      <w:proofErr w:type="spellEnd"/>
      <w:r w:rsidRPr="0023493F">
        <w:t xml:space="preserve"> shall be granted certain facilities and flexibilities to experiment with financial technologies (“</w:t>
      </w:r>
      <w:proofErr w:type="spellStart"/>
      <w:r w:rsidRPr="0023493F">
        <w:rPr>
          <w:rStyle w:val="Strong"/>
        </w:rPr>
        <w:t>FinTech</w:t>
      </w:r>
      <w:proofErr w:type="spellEnd"/>
      <w:r w:rsidRPr="0023493F">
        <w:t xml:space="preserve">“) solutions in a live environment and on limited set of real customers for a limited </w:t>
      </w:r>
      <w:proofErr w:type="gramStart"/>
      <w:r w:rsidRPr="0023493F">
        <w:t>time frame</w:t>
      </w:r>
      <w:proofErr w:type="gramEnd"/>
      <w:r w:rsidRPr="0023493F">
        <w:t xml:space="preserve">. These features </w:t>
      </w:r>
      <w:proofErr w:type="gramStart"/>
      <w:r w:rsidRPr="0023493F">
        <w:t>shall be fortified</w:t>
      </w:r>
      <w:proofErr w:type="gramEnd"/>
      <w:r w:rsidRPr="0023493F">
        <w:t xml:space="preserve"> with necessary safeguards for investor protection and risk mitigation</w:t>
      </w:r>
    </w:p>
    <w:p w:rsidR="00133486" w:rsidRPr="0023493F" w:rsidRDefault="00133486" w:rsidP="00F17DA4">
      <w:pPr>
        <w:pStyle w:val="NormalWeb"/>
        <w:shd w:val="clear" w:color="auto" w:fill="FFFFFF"/>
        <w:spacing w:before="0" w:beforeAutospacing="0"/>
        <w:jc w:val="both"/>
      </w:pPr>
      <w:proofErr w:type="spellStart"/>
      <w:r w:rsidRPr="0023493F">
        <w:t>SEBI</w:t>
      </w:r>
      <w:proofErr w:type="spellEnd"/>
      <w:r w:rsidRPr="0023493F">
        <w:t xml:space="preserve"> believes that encouraging adoption and usage of </w:t>
      </w:r>
      <w:proofErr w:type="spellStart"/>
      <w:r w:rsidRPr="0023493F">
        <w:t>FinTech</w:t>
      </w:r>
      <w:proofErr w:type="spellEnd"/>
      <w:r w:rsidRPr="0023493F">
        <w:t xml:space="preserve"> can act as an instrument to further develop and maintain an efficient, fair and transparent securities market ecosystem. Towards this end, </w:t>
      </w:r>
      <w:proofErr w:type="spellStart"/>
      <w:r w:rsidRPr="0023493F">
        <w:t>SEBI</w:t>
      </w:r>
      <w:proofErr w:type="spellEnd"/>
      <w:r w:rsidRPr="0023493F">
        <w:t xml:space="preserve"> on 20 May </w:t>
      </w:r>
      <w:proofErr w:type="gramStart"/>
      <w:r w:rsidRPr="0023493F">
        <w:t>2019,</w:t>
      </w:r>
      <w:proofErr w:type="gramEnd"/>
      <w:r w:rsidRPr="0023493F">
        <w:t xml:space="preserve"> stipulated a framework for an industry-wide Innovation Sandbox, whereby </w:t>
      </w:r>
      <w:proofErr w:type="spellStart"/>
      <w:r w:rsidRPr="0023493F">
        <w:t>FinTech</w:t>
      </w:r>
      <w:proofErr w:type="spellEnd"/>
      <w:r w:rsidRPr="0023493F">
        <w:t xml:space="preserve"> </w:t>
      </w:r>
      <w:proofErr w:type="spellStart"/>
      <w:r w:rsidRPr="0023493F">
        <w:t>startups</w:t>
      </w:r>
      <w:proofErr w:type="spellEnd"/>
      <w:r w:rsidRPr="0023493F">
        <w:t xml:space="preserve"> and entities not regulated by </w:t>
      </w:r>
      <w:proofErr w:type="spellStart"/>
      <w:r w:rsidRPr="0023493F">
        <w:t>SEBI</w:t>
      </w:r>
      <w:proofErr w:type="spellEnd"/>
      <w:r w:rsidRPr="0023493F">
        <w:t xml:space="preserve"> were permitted to use the Innovation Sandbox for offline testing of their proposed solution.</w:t>
      </w:r>
    </w:p>
    <w:p w:rsidR="00133486" w:rsidRPr="0023493F" w:rsidRDefault="00133486" w:rsidP="00F17DA4">
      <w:pPr>
        <w:pStyle w:val="NormalWeb"/>
        <w:shd w:val="clear" w:color="auto" w:fill="FFFFFF"/>
        <w:spacing w:before="0" w:beforeAutospacing="0"/>
        <w:jc w:val="both"/>
      </w:pPr>
      <w:r w:rsidRPr="0023493F">
        <w:t xml:space="preserve">The framework for “Regulatory Sandbox” as issued by </w:t>
      </w:r>
      <w:proofErr w:type="spellStart"/>
      <w:r w:rsidRPr="0023493F">
        <w:t>SEBI</w:t>
      </w:r>
      <w:proofErr w:type="spellEnd"/>
      <w:r w:rsidRPr="0023493F">
        <w:t xml:space="preserve"> provides for the following aspects:</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Applicability,</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Eligibility criteria for the project,</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Application and approval process,</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Evaluation criteria,</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Regulatory exemptions,</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Submission of test related information and reports,</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Obligations of the applicant towards the user,</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Extending or exiting the Sandbox,</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Revocation of the approval, and</w:t>
      </w:r>
    </w:p>
    <w:p w:rsidR="00133486" w:rsidRPr="0023493F" w:rsidRDefault="00133486" w:rsidP="00F17DA4">
      <w:pPr>
        <w:numPr>
          <w:ilvl w:val="0"/>
          <w:numId w:val="12"/>
        </w:numPr>
        <w:shd w:val="clear" w:color="auto" w:fill="FFFFFF"/>
        <w:spacing w:before="100" w:beforeAutospacing="1" w:after="100" w:afterAutospacing="1" w:line="231" w:lineRule="atLeast"/>
        <w:rPr>
          <w:rFonts w:ascii="Times New Roman" w:hAnsi="Times New Roman" w:cs="Times New Roman"/>
          <w:sz w:val="24"/>
          <w:szCs w:val="24"/>
        </w:rPr>
      </w:pPr>
      <w:r w:rsidRPr="0023493F">
        <w:rPr>
          <w:rFonts w:ascii="Times New Roman" w:hAnsi="Times New Roman" w:cs="Times New Roman"/>
          <w:sz w:val="24"/>
          <w:szCs w:val="24"/>
        </w:rPr>
        <w:t>Regulatory Sandbox Application Form</w:t>
      </w:r>
    </w:p>
    <w:p w:rsidR="005139E6" w:rsidRDefault="005139E6" w:rsidP="00F17DA4">
      <w:pPr>
        <w:rPr>
          <w:rFonts w:ascii="Times New Roman" w:hAnsi="Times New Roman" w:cs="Times New Roman"/>
          <w:sz w:val="24"/>
          <w:szCs w:val="24"/>
        </w:rPr>
      </w:pPr>
    </w:p>
    <w:p w:rsidR="005B6154" w:rsidRDefault="005B6154" w:rsidP="00F17DA4">
      <w:pPr>
        <w:rPr>
          <w:rFonts w:ascii="Times New Roman" w:hAnsi="Times New Roman" w:cs="Times New Roman"/>
          <w:b/>
          <w:sz w:val="24"/>
          <w:szCs w:val="24"/>
        </w:rPr>
      </w:pPr>
      <w:r>
        <w:rPr>
          <w:rFonts w:ascii="Times New Roman" w:hAnsi="Times New Roman" w:cs="Times New Roman"/>
          <w:b/>
          <w:sz w:val="24"/>
          <w:szCs w:val="24"/>
        </w:rPr>
        <w:t>Lesson 4</w:t>
      </w:r>
    </w:p>
    <w:p w:rsidR="00601FDD" w:rsidRDefault="00601FDD" w:rsidP="00F17DA4">
      <w:pPr>
        <w:rPr>
          <w:rFonts w:ascii="Times New Roman" w:hAnsi="Times New Roman" w:cs="Times New Roman"/>
          <w:b/>
          <w:sz w:val="24"/>
          <w:szCs w:val="24"/>
        </w:rPr>
      </w:pPr>
      <w:r w:rsidRPr="00601FDD">
        <w:rPr>
          <w:rFonts w:ascii="Times New Roman" w:hAnsi="Times New Roman" w:cs="Times New Roman"/>
          <w:b/>
          <w:sz w:val="24"/>
          <w:szCs w:val="24"/>
        </w:rPr>
        <w:t>Primary Markets</w:t>
      </w:r>
    </w:p>
    <w:p w:rsidR="00902764" w:rsidRPr="00B74080" w:rsidRDefault="00902764" w:rsidP="00902764">
      <w:pPr>
        <w:rPr>
          <w:rFonts w:ascii="Times New Roman" w:hAnsi="Times New Roman" w:cs="Times New Roman"/>
          <w:b/>
          <w:i/>
          <w:sz w:val="24"/>
          <w:szCs w:val="24"/>
        </w:rPr>
      </w:pPr>
      <w:r w:rsidRPr="00B74080">
        <w:rPr>
          <w:rFonts w:ascii="Times New Roman" w:hAnsi="Times New Roman" w:cs="Times New Roman"/>
          <w:b/>
          <w:i/>
          <w:sz w:val="24"/>
          <w:szCs w:val="24"/>
        </w:rPr>
        <w:t>Rights Issue</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Securities and Exchange Board of India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has issued circular No.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/HO/</w:t>
      </w:r>
      <w:proofErr w:type="spellStart"/>
      <w:r w:rsidRPr="00B74080">
        <w:rPr>
          <w:rFonts w:ascii="Times New Roman" w:hAnsi="Times New Roman" w:cs="Times New Roman"/>
          <w:sz w:val="24"/>
          <w:szCs w:val="24"/>
        </w:rPr>
        <w:t>CFD</w:t>
      </w:r>
      <w:proofErr w:type="spellEnd"/>
      <w:r w:rsidRPr="00B74080">
        <w:rPr>
          <w:rFonts w:ascii="Times New Roman" w:hAnsi="Times New Roman" w:cs="Times New Roman"/>
          <w:sz w:val="24"/>
          <w:szCs w:val="24"/>
        </w:rPr>
        <w:t>/</w:t>
      </w:r>
      <w:proofErr w:type="spellStart"/>
      <w:r w:rsidRPr="00B74080">
        <w:rPr>
          <w:rFonts w:ascii="Times New Roman" w:hAnsi="Times New Roman" w:cs="Times New Roman"/>
          <w:sz w:val="24"/>
          <w:szCs w:val="24"/>
        </w:rPr>
        <w:t>DIL2</w:t>
      </w:r>
      <w:proofErr w:type="spellEnd"/>
      <w:r w:rsidRPr="00B74080">
        <w:rPr>
          <w:rFonts w:ascii="Times New Roman" w:hAnsi="Times New Roman" w:cs="Times New Roman"/>
          <w:sz w:val="24"/>
          <w:szCs w:val="24"/>
        </w:rPr>
        <w:t xml:space="preserve">/CIR/P/2020/13 dated January 22, 2020 regarding Streamlining the Process of Rights Issue by amending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(Issue of Capital and Disclosure Requirements) Regulations, 2018 (“</w:t>
      </w:r>
      <w:proofErr w:type="spellStart"/>
      <w:r w:rsidRPr="00B74080">
        <w:rPr>
          <w:rFonts w:ascii="Times New Roman" w:hAnsi="Times New Roman" w:cs="Times New Roman"/>
          <w:sz w:val="24"/>
          <w:szCs w:val="24"/>
        </w:rPr>
        <w:t>ICDR</w:t>
      </w:r>
      <w:proofErr w:type="spellEnd"/>
      <w:r w:rsidRPr="00B74080">
        <w:rPr>
          <w:rFonts w:ascii="Times New Roman" w:hAnsi="Times New Roman" w:cs="Times New Roman"/>
          <w:sz w:val="24"/>
          <w:szCs w:val="24"/>
        </w:rPr>
        <w:t xml:space="preserve"> Regulations”) and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(Listing Obligations and Disclosure Requirements) Regulations, 2015 (“</w:t>
      </w:r>
      <w:proofErr w:type="spellStart"/>
      <w:r w:rsidRPr="00B74080">
        <w:rPr>
          <w:rFonts w:ascii="Times New Roman" w:hAnsi="Times New Roman" w:cs="Times New Roman"/>
          <w:sz w:val="24"/>
          <w:szCs w:val="24"/>
        </w:rPr>
        <w:t>LODR</w:t>
      </w:r>
      <w:proofErr w:type="spellEnd"/>
      <w:r w:rsidRPr="00B74080">
        <w:rPr>
          <w:rFonts w:ascii="Times New Roman" w:hAnsi="Times New Roman" w:cs="Times New Roman"/>
          <w:sz w:val="24"/>
          <w:szCs w:val="24"/>
        </w:rPr>
        <w:t xml:space="preserve"> Regulations”).</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This circular shall be applicable for all rights issues and fast track rights issue where Letter of Offer (</w:t>
      </w:r>
      <w:proofErr w:type="spellStart"/>
      <w:r w:rsidRPr="00B74080">
        <w:rPr>
          <w:rFonts w:ascii="Times New Roman" w:hAnsi="Times New Roman" w:cs="Times New Roman"/>
          <w:sz w:val="24"/>
          <w:szCs w:val="24"/>
        </w:rPr>
        <w:t>LoF</w:t>
      </w:r>
      <w:proofErr w:type="spellEnd"/>
      <w:r w:rsidRPr="00B74080">
        <w:rPr>
          <w:rFonts w:ascii="Times New Roman" w:hAnsi="Times New Roman" w:cs="Times New Roman"/>
          <w:sz w:val="24"/>
          <w:szCs w:val="24"/>
        </w:rPr>
        <w:t xml:space="preserve">) </w:t>
      </w:r>
      <w:proofErr w:type="gramStart"/>
      <w:r w:rsidRPr="00B74080">
        <w:rPr>
          <w:rFonts w:ascii="Times New Roman" w:hAnsi="Times New Roman" w:cs="Times New Roman"/>
          <w:sz w:val="24"/>
          <w:szCs w:val="24"/>
        </w:rPr>
        <w:t>is filed</w:t>
      </w:r>
      <w:proofErr w:type="gramEnd"/>
      <w:r w:rsidRPr="00B74080">
        <w:rPr>
          <w:rFonts w:ascii="Times New Roman" w:hAnsi="Times New Roman" w:cs="Times New Roman"/>
          <w:sz w:val="24"/>
          <w:szCs w:val="24"/>
        </w:rPr>
        <w:t xml:space="preserve"> with the stock exchanges on or after February 14, 2020.</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The Securities and Exchange Board of India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has simplified the rights issue process to make it more efficient and effective, by amending the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(Issue of Capital and Disclosure Requirements) Regulations, 2018 (“</w:t>
      </w:r>
      <w:proofErr w:type="spellStart"/>
      <w:r w:rsidRPr="00B74080">
        <w:rPr>
          <w:rFonts w:ascii="Times New Roman" w:hAnsi="Times New Roman" w:cs="Times New Roman"/>
          <w:sz w:val="24"/>
          <w:szCs w:val="24"/>
        </w:rPr>
        <w:t>ICDR</w:t>
      </w:r>
      <w:proofErr w:type="spellEnd"/>
      <w:r w:rsidRPr="00B74080">
        <w:rPr>
          <w:rFonts w:ascii="Times New Roman" w:hAnsi="Times New Roman" w:cs="Times New Roman"/>
          <w:sz w:val="24"/>
          <w:szCs w:val="24"/>
        </w:rPr>
        <w:t xml:space="preserve"> Regulations”) and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(Listing Obligations and Disclosure Requirements) Regulations, 2015 (“</w:t>
      </w:r>
      <w:proofErr w:type="spellStart"/>
      <w:r w:rsidRPr="00B74080">
        <w:rPr>
          <w:rFonts w:ascii="Times New Roman" w:hAnsi="Times New Roman" w:cs="Times New Roman"/>
          <w:sz w:val="24"/>
          <w:szCs w:val="24"/>
        </w:rPr>
        <w:t>LODR</w:t>
      </w:r>
      <w:proofErr w:type="spellEnd"/>
      <w:r w:rsidRPr="00B74080">
        <w:rPr>
          <w:rFonts w:ascii="Times New Roman" w:hAnsi="Times New Roman" w:cs="Times New Roman"/>
          <w:sz w:val="24"/>
          <w:szCs w:val="24"/>
        </w:rPr>
        <w:t xml:space="preserve"> Regulations”). Accordingly, following changes are made with respect to the Rights Issue </w:t>
      </w:r>
      <w:proofErr w:type="gramStart"/>
      <w:r w:rsidRPr="00B74080">
        <w:rPr>
          <w:rFonts w:ascii="Times New Roman" w:hAnsi="Times New Roman" w:cs="Times New Roman"/>
          <w:sz w:val="24"/>
          <w:szCs w:val="24"/>
        </w:rPr>
        <w:t>process :</w:t>
      </w:r>
      <w:proofErr w:type="gramEnd"/>
      <w:r w:rsidRPr="00B74080">
        <w:rPr>
          <w:rFonts w:ascii="Times New Roman" w:hAnsi="Times New Roman" w:cs="Times New Roman"/>
          <w:sz w:val="24"/>
          <w:szCs w:val="24"/>
        </w:rPr>
        <w:t xml:space="preserve">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1.1. The period for advance notice to stock exchange(s) under Regulation 42(2) of </w:t>
      </w:r>
      <w:proofErr w:type="spellStart"/>
      <w:r w:rsidRPr="00B74080">
        <w:rPr>
          <w:rFonts w:ascii="Times New Roman" w:hAnsi="Times New Roman" w:cs="Times New Roman"/>
          <w:sz w:val="24"/>
          <w:szCs w:val="24"/>
        </w:rPr>
        <w:t>LODR</w:t>
      </w:r>
      <w:proofErr w:type="spellEnd"/>
      <w:r w:rsidRPr="00B74080">
        <w:rPr>
          <w:rFonts w:ascii="Times New Roman" w:hAnsi="Times New Roman" w:cs="Times New Roman"/>
          <w:sz w:val="24"/>
          <w:szCs w:val="24"/>
        </w:rPr>
        <w:t xml:space="preserve"> Regulations has been reduced from at least 7 working days to at least 3 working days (excluding the date of intimation and the record date), for the purpose of rights issue.</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1.2. Issuance of newspaper advertisement disclosing date of completion of dispatch and intimation of </w:t>
      </w:r>
      <w:proofErr w:type="gramStart"/>
      <w:r w:rsidRPr="00B74080">
        <w:rPr>
          <w:rFonts w:ascii="Times New Roman" w:hAnsi="Times New Roman" w:cs="Times New Roman"/>
          <w:sz w:val="24"/>
          <w:szCs w:val="24"/>
        </w:rPr>
        <w:t>same</w:t>
      </w:r>
      <w:proofErr w:type="gramEnd"/>
      <w:r w:rsidRPr="00B74080">
        <w:rPr>
          <w:rFonts w:ascii="Times New Roman" w:hAnsi="Times New Roman" w:cs="Times New Roman"/>
          <w:sz w:val="24"/>
          <w:szCs w:val="24"/>
        </w:rPr>
        <w:t xml:space="preserve"> to the stock exchanges for dissemination on their websites, as per Regulation 84 (1) of </w:t>
      </w:r>
      <w:proofErr w:type="spellStart"/>
      <w:r w:rsidRPr="00B74080">
        <w:rPr>
          <w:rFonts w:ascii="Times New Roman" w:hAnsi="Times New Roman" w:cs="Times New Roman"/>
          <w:sz w:val="24"/>
          <w:szCs w:val="24"/>
        </w:rPr>
        <w:t>ICDR</w:t>
      </w:r>
      <w:proofErr w:type="spellEnd"/>
      <w:r w:rsidRPr="00B74080">
        <w:rPr>
          <w:rFonts w:ascii="Times New Roman" w:hAnsi="Times New Roman" w:cs="Times New Roman"/>
          <w:sz w:val="24"/>
          <w:szCs w:val="24"/>
        </w:rPr>
        <w:t xml:space="preserve"> Regulations, shall be completed by the issuer at least 2 days before the date of opening of the issue.</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1.3. Introduction of dematerialized Rights Entitlements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1.3.1. In the letter of offer and the abridged letter of offer, the issuer shall disclose the process of credit of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in the </w:t>
      </w:r>
      <w:proofErr w:type="spellStart"/>
      <w:r w:rsidRPr="00B74080">
        <w:rPr>
          <w:rFonts w:ascii="Times New Roman" w:hAnsi="Times New Roman" w:cs="Times New Roman"/>
          <w:sz w:val="24"/>
          <w:szCs w:val="24"/>
        </w:rPr>
        <w:t>demat</w:t>
      </w:r>
      <w:proofErr w:type="spellEnd"/>
      <w:r w:rsidRPr="00B74080">
        <w:rPr>
          <w:rFonts w:ascii="Times New Roman" w:hAnsi="Times New Roman" w:cs="Times New Roman"/>
          <w:sz w:val="24"/>
          <w:szCs w:val="24"/>
        </w:rPr>
        <w:t xml:space="preserve"> account and renunciation thereof.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1.3.2.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shall be credited to the </w:t>
      </w:r>
      <w:proofErr w:type="spellStart"/>
      <w:r w:rsidRPr="00B74080">
        <w:rPr>
          <w:rFonts w:ascii="Times New Roman" w:hAnsi="Times New Roman" w:cs="Times New Roman"/>
          <w:sz w:val="24"/>
          <w:szCs w:val="24"/>
        </w:rPr>
        <w:t>demat</w:t>
      </w:r>
      <w:proofErr w:type="spellEnd"/>
      <w:r w:rsidRPr="00B74080">
        <w:rPr>
          <w:rFonts w:ascii="Times New Roman" w:hAnsi="Times New Roman" w:cs="Times New Roman"/>
          <w:sz w:val="24"/>
          <w:szCs w:val="24"/>
        </w:rPr>
        <w:t xml:space="preserve"> account of eligible shareholders in dematerialized form. 1.3.3. In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process, the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with a separate </w:t>
      </w:r>
      <w:proofErr w:type="spellStart"/>
      <w:r w:rsidRPr="00B74080">
        <w:rPr>
          <w:rFonts w:ascii="Times New Roman" w:hAnsi="Times New Roman" w:cs="Times New Roman"/>
          <w:sz w:val="24"/>
          <w:szCs w:val="24"/>
        </w:rPr>
        <w:t>ISIN</w:t>
      </w:r>
      <w:proofErr w:type="spellEnd"/>
      <w:r w:rsidRPr="00B74080">
        <w:rPr>
          <w:rFonts w:ascii="Times New Roman" w:hAnsi="Times New Roman" w:cs="Times New Roman"/>
          <w:sz w:val="24"/>
          <w:szCs w:val="24"/>
        </w:rPr>
        <w:t xml:space="preserve"> shall be credited to the </w:t>
      </w:r>
      <w:proofErr w:type="spellStart"/>
      <w:r w:rsidRPr="00B74080">
        <w:rPr>
          <w:rFonts w:ascii="Times New Roman" w:hAnsi="Times New Roman" w:cs="Times New Roman"/>
          <w:sz w:val="24"/>
          <w:szCs w:val="24"/>
        </w:rPr>
        <w:t>demat</w:t>
      </w:r>
      <w:proofErr w:type="spellEnd"/>
      <w:r w:rsidRPr="00B74080">
        <w:rPr>
          <w:rFonts w:ascii="Times New Roman" w:hAnsi="Times New Roman" w:cs="Times New Roman"/>
          <w:sz w:val="24"/>
          <w:szCs w:val="24"/>
        </w:rPr>
        <w:t xml:space="preserve"> account of the shareholders before the date of opening of the issue, against the shares held by them as on the record date.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1.3.4. Physical shareholders shall be required to provide their </w:t>
      </w:r>
      <w:proofErr w:type="spellStart"/>
      <w:r w:rsidRPr="00B74080">
        <w:rPr>
          <w:rFonts w:ascii="Times New Roman" w:hAnsi="Times New Roman" w:cs="Times New Roman"/>
          <w:sz w:val="24"/>
          <w:szCs w:val="24"/>
        </w:rPr>
        <w:t>demat</w:t>
      </w:r>
      <w:proofErr w:type="spellEnd"/>
      <w:r w:rsidRPr="00B74080">
        <w:rPr>
          <w:rFonts w:ascii="Times New Roman" w:hAnsi="Times New Roman" w:cs="Times New Roman"/>
          <w:sz w:val="24"/>
          <w:szCs w:val="24"/>
        </w:rPr>
        <w:t xml:space="preserve"> account details to Issuer / Registrar to the Issue for credit of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not later than two working days prior to the issue closing date, such that credit of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in their </w:t>
      </w:r>
      <w:proofErr w:type="spellStart"/>
      <w:r w:rsidRPr="00B74080">
        <w:rPr>
          <w:rFonts w:ascii="Times New Roman" w:hAnsi="Times New Roman" w:cs="Times New Roman"/>
          <w:sz w:val="24"/>
          <w:szCs w:val="24"/>
        </w:rPr>
        <w:t>demat</w:t>
      </w:r>
      <w:proofErr w:type="spellEnd"/>
      <w:r w:rsidRPr="00B74080">
        <w:rPr>
          <w:rFonts w:ascii="Times New Roman" w:hAnsi="Times New Roman" w:cs="Times New Roman"/>
          <w:sz w:val="24"/>
          <w:szCs w:val="24"/>
        </w:rPr>
        <w:t xml:space="preserve"> account takes place at least one day before the issue closing date.</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1.4. Trading of dematerialized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on stock exchange platform –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lastRenderedPageBreak/>
        <w:t xml:space="preserve">1.4.1.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shall be traded on secondary market platform of Stock exchanges, with </w:t>
      </w:r>
      <w:proofErr w:type="spellStart"/>
      <w:r w:rsidRPr="00B74080">
        <w:rPr>
          <w:rFonts w:ascii="Times New Roman" w:hAnsi="Times New Roman" w:cs="Times New Roman"/>
          <w:sz w:val="24"/>
          <w:szCs w:val="24"/>
        </w:rPr>
        <w:t>T+</w:t>
      </w:r>
      <w:proofErr w:type="gramStart"/>
      <w:r w:rsidRPr="00B74080">
        <w:rPr>
          <w:rFonts w:ascii="Times New Roman" w:hAnsi="Times New Roman" w:cs="Times New Roman"/>
          <w:sz w:val="24"/>
          <w:szCs w:val="24"/>
        </w:rPr>
        <w:t>2</w:t>
      </w:r>
      <w:proofErr w:type="spellEnd"/>
      <w:proofErr w:type="gramEnd"/>
      <w:r w:rsidRPr="00B74080">
        <w:rPr>
          <w:rFonts w:ascii="Times New Roman" w:hAnsi="Times New Roman" w:cs="Times New Roman"/>
          <w:sz w:val="24"/>
          <w:szCs w:val="24"/>
        </w:rPr>
        <w:t xml:space="preserve"> rolling settlement, similar to the equity shares. Trading in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on the secondary market platform of stock exchanges shall commence along with the opening of the issue and </w:t>
      </w:r>
      <w:proofErr w:type="gramStart"/>
      <w:r w:rsidRPr="00B74080">
        <w:rPr>
          <w:rFonts w:ascii="Times New Roman" w:hAnsi="Times New Roman" w:cs="Times New Roman"/>
          <w:sz w:val="24"/>
          <w:szCs w:val="24"/>
        </w:rPr>
        <w:t>shall be closed</w:t>
      </w:r>
      <w:proofErr w:type="gramEnd"/>
      <w:r w:rsidRPr="00B74080">
        <w:rPr>
          <w:rFonts w:ascii="Times New Roman" w:hAnsi="Times New Roman" w:cs="Times New Roman"/>
          <w:sz w:val="24"/>
          <w:szCs w:val="24"/>
        </w:rPr>
        <w:t xml:space="preserve"> at least four days prior to the closure of the rights issue.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1.4.2. Investors holding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in dematerialized mode shall be able to renounce their entitlements by trading on stock exchange platform or off-market transfer. Such trades </w:t>
      </w:r>
      <w:proofErr w:type="gramStart"/>
      <w:r w:rsidRPr="00B74080">
        <w:rPr>
          <w:rFonts w:ascii="Times New Roman" w:hAnsi="Times New Roman" w:cs="Times New Roman"/>
          <w:sz w:val="24"/>
          <w:szCs w:val="24"/>
        </w:rPr>
        <w:t>will be settled</w:t>
      </w:r>
      <w:proofErr w:type="gramEnd"/>
      <w:r w:rsidRPr="00B74080">
        <w:rPr>
          <w:rFonts w:ascii="Times New Roman" w:hAnsi="Times New Roman" w:cs="Times New Roman"/>
          <w:sz w:val="24"/>
          <w:szCs w:val="24"/>
        </w:rPr>
        <w:t xml:space="preserve"> by transferring dematerialized </w:t>
      </w:r>
      <w:proofErr w:type="spellStart"/>
      <w:r w:rsidRPr="00B74080">
        <w:rPr>
          <w:rFonts w:ascii="Times New Roman" w:hAnsi="Times New Roman" w:cs="Times New Roman"/>
          <w:sz w:val="24"/>
          <w:szCs w:val="24"/>
        </w:rPr>
        <w:t>REs</w:t>
      </w:r>
      <w:proofErr w:type="spellEnd"/>
      <w:r w:rsidRPr="00B74080">
        <w:rPr>
          <w:rFonts w:ascii="Times New Roman" w:hAnsi="Times New Roman" w:cs="Times New Roman"/>
          <w:sz w:val="24"/>
          <w:szCs w:val="24"/>
        </w:rPr>
        <w:t xml:space="preserve"> through depository mechanism, in the same manner as done for all other types of securities.</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1.5. Payment mode - Application for a rights issue </w:t>
      </w:r>
      <w:proofErr w:type="gramStart"/>
      <w:r w:rsidRPr="00B74080">
        <w:rPr>
          <w:rFonts w:ascii="Times New Roman" w:hAnsi="Times New Roman" w:cs="Times New Roman"/>
          <w:sz w:val="24"/>
          <w:szCs w:val="24"/>
        </w:rPr>
        <w:t>shall be made</w:t>
      </w:r>
      <w:proofErr w:type="gramEnd"/>
      <w:r w:rsidRPr="00B74080">
        <w:rPr>
          <w:rFonts w:ascii="Times New Roman" w:hAnsi="Times New Roman" w:cs="Times New Roman"/>
          <w:sz w:val="24"/>
          <w:szCs w:val="24"/>
        </w:rPr>
        <w:t xml:space="preserve"> only through </w:t>
      </w:r>
      <w:proofErr w:type="spellStart"/>
      <w:r w:rsidRPr="00B74080">
        <w:rPr>
          <w:rFonts w:ascii="Times New Roman" w:hAnsi="Times New Roman" w:cs="Times New Roman"/>
          <w:sz w:val="24"/>
          <w:szCs w:val="24"/>
        </w:rPr>
        <w:t>ASBA</w:t>
      </w:r>
      <w:proofErr w:type="spellEnd"/>
      <w:r w:rsidRPr="00B74080">
        <w:rPr>
          <w:rFonts w:ascii="Times New Roman" w:hAnsi="Times New Roman" w:cs="Times New Roman"/>
          <w:sz w:val="24"/>
          <w:szCs w:val="24"/>
        </w:rPr>
        <w:t xml:space="preserve"> facility. </w:t>
      </w:r>
    </w:p>
    <w:p w:rsidR="00902764" w:rsidRPr="00B74080" w:rsidRDefault="00902764" w:rsidP="00902764">
      <w:pPr>
        <w:rPr>
          <w:rFonts w:ascii="Times New Roman" w:hAnsi="Times New Roman" w:cs="Times New Roman"/>
          <w:sz w:val="24"/>
          <w:szCs w:val="24"/>
        </w:rPr>
      </w:pPr>
      <w:proofErr w:type="gramStart"/>
      <w:r w:rsidRPr="00B74080">
        <w:rPr>
          <w:rFonts w:ascii="Times New Roman" w:hAnsi="Times New Roman" w:cs="Times New Roman"/>
          <w:sz w:val="24"/>
          <w:szCs w:val="24"/>
        </w:rPr>
        <w:t>1.6. No withdrawal of application shall be permitted by any shareholder</w:t>
      </w:r>
      <w:proofErr w:type="gramEnd"/>
      <w:r w:rsidRPr="00B74080">
        <w:rPr>
          <w:rFonts w:ascii="Times New Roman" w:hAnsi="Times New Roman" w:cs="Times New Roman"/>
          <w:sz w:val="24"/>
          <w:szCs w:val="24"/>
        </w:rPr>
        <w:t xml:space="preserve"> after the issue closing date. 2. The detailed procedures on the Rights Issue process are given at Annexure I for due compliance.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3. This circular shall be applicable for all rights issues and fast track rights issue where Letter of Offer (</w:t>
      </w:r>
      <w:proofErr w:type="spellStart"/>
      <w:r w:rsidRPr="00B74080">
        <w:rPr>
          <w:rFonts w:ascii="Times New Roman" w:hAnsi="Times New Roman" w:cs="Times New Roman"/>
          <w:sz w:val="24"/>
          <w:szCs w:val="24"/>
        </w:rPr>
        <w:t>LoF</w:t>
      </w:r>
      <w:proofErr w:type="spellEnd"/>
      <w:r w:rsidRPr="00B74080">
        <w:rPr>
          <w:rFonts w:ascii="Times New Roman" w:hAnsi="Times New Roman" w:cs="Times New Roman"/>
          <w:sz w:val="24"/>
          <w:szCs w:val="24"/>
        </w:rPr>
        <w:t xml:space="preserve">) </w:t>
      </w:r>
      <w:proofErr w:type="gramStart"/>
      <w:r w:rsidRPr="00B74080">
        <w:rPr>
          <w:rFonts w:ascii="Times New Roman" w:hAnsi="Times New Roman" w:cs="Times New Roman"/>
          <w:sz w:val="24"/>
          <w:szCs w:val="24"/>
        </w:rPr>
        <w:t>is filed</w:t>
      </w:r>
      <w:proofErr w:type="gramEnd"/>
      <w:r w:rsidRPr="00B74080">
        <w:rPr>
          <w:rFonts w:ascii="Times New Roman" w:hAnsi="Times New Roman" w:cs="Times New Roman"/>
          <w:sz w:val="24"/>
          <w:szCs w:val="24"/>
        </w:rPr>
        <w:t xml:space="preserve"> with the stock exchanges on or after February 14, 2020.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4. All entities involved in the Rights Issue process </w:t>
      </w:r>
      <w:proofErr w:type="gramStart"/>
      <w:r w:rsidRPr="00B74080">
        <w:rPr>
          <w:rFonts w:ascii="Times New Roman" w:hAnsi="Times New Roman" w:cs="Times New Roman"/>
          <w:sz w:val="24"/>
          <w:szCs w:val="24"/>
        </w:rPr>
        <w:t>are advised</w:t>
      </w:r>
      <w:proofErr w:type="gramEnd"/>
      <w:r w:rsidRPr="00B74080">
        <w:rPr>
          <w:rFonts w:ascii="Times New Roman" w:hAnsi="Times New Roman" w:cs="Times New Roman"/>
          <w:sz w:val="24"/>
          <w:szCs w:val="24"/>
        </w:rPr>
        <w:t xml:space="preserve"> to take necessary steps to ensure compliance with this circular including the procedures stated at Annexure I of this circular. </w:t>
      </w:r>
    </w:p>
    <w:p w:rsidR="00902764" w:rsidRPr="00B74080" w:rsidRDefault="00902764" w:rsidP="00902764">
      <w:pPr>
        <w:rPr>
          <w:rFonts w:ascii="Times New Roman" w:hAnsi="Times New Roman" w:cs="Times New Roman"/>
          <w:sz w:val="24"/>
          <w:szCs w:val="24"/>
        </w:rPr>
      </w:pPr>
      <w:r w:rsidRPr="00B74080">
        <w:rPr>
          <w:rFonts w:ascii="Times New Roman" w:hAnsi="Times New Roman" w:cs="Times New Roman"/>
          <w:sz w:val="24"/>
          <w:szCs w:val="24"/>
        </w:rPr>
        <w:t xml:space="preserve">5. This circular </w:t>
      </w:r>
      <w:proofErr w:type="gramStart"/>
      <w:r w:rsidRPr="00B74080">
        <w:rPr>
          <w:rFonts w:ascii="Times New Roman" w:hAnsi="Times New Roman" w:cs="Times New Roman"/>
          <w:sz w:val="24"/>
          <w:szCs w:val="24"/>
        </w:rPr>
        <w:t>is being issued</w:t>
      </w:r>
      <w:proofErr w:type="gramEnd"/>
      <w:r w:rsidRPr="00B74080">
        <w:rPr>
          <w:rFonts w:ascii="Times New Roman" w:hAnsi="Times New Roman" w:cs="Times New Roman"/>
          <w:sz w:val="24"/>
          <w:szCs w:val="24"/>
        </w:rPr>
        <w:t xml:space="preserve"> in exercise of the powers under section 11 read with section </w:t>
      </w:r>
      <w:proofErr w:type="spellStart"/>
      <w:r w:rsidRPr="00B74080">
        <w:rPr>
          <w:rFonts w:ascii="Times New Roman" w:hAnsi="Times New Roman" w:cs="Times New Roman"/>
          <w:sz w:val="24"/>
          <w:szCs w:val="24"/>
        </w:rPr>
        <w:t>11A</w:t>
      </w:r>
      <w:proofErr w:type="spellEnd"/>
      <w:r w:rsidRPr="00B74080">
        <w:rPr>
          <w:rFonts w:ascii="Times New Roman" w:hAnsi="Times New Roman" w:cs="Times New Roman"/>
          <w:sz w:val="24"/>
          <w:szCs w:val="24"/>
        </w:rPr>
        <w:t xml:space="preserve"> of the Securities and Exchange Board of India Act, 1992.</w:t>
      </w:r>
    </w:p>
    <w:p w:rsidR="00902764" w:rsidRPr="00902764" w:rsidRDefault="00902764" w:rsidP="00F17DA4">
      <w:pPr>
        <w:rPr>
          <w:rFonts w:ascii="Times New Roman" w:hAnsi="Times New Roman" w:cs="Times New Roman"/>
          <w:sz w:val="24"/>
          <w:szCs w:val="24"/>
        </w:rPr>
      </w:pPr>
      <w:r w:rsidRPr="00B74080">
        <w:rPr>
          <w:rFonts w:ascii="Times New Roman" w:hAnsi="Times New Roman" w:cs="Times New Roman"/>
          <w:sz w:val="24"/>
          <w:szCs w:val="24"/>
        </w:rPr>
        <w:t xml:space="preserve">For more </w:t>
      </w:r>
      <w:proofErr w:type="gramStart"/>
      <w:r w:rsidRPr="00B74080">
        <w:rPr>
          <w:rFonts w:ascii="Times New Roman" w:hAnsi="Times New Roman" w:cs="Times New Roman"/>
          <w:sz w:val="24"/>
          <w:szCs w:val="24"/>
        </w:rPr>
        <w:t>details</w:t>
      </w:r>
      <w:proofErr w:type="gramEnd"/>
      <w:r w:rsidRPr="00B74080">
        <w:rPr>
          <w:rFonts w:ascii="Times New Roman" w:hAnsi="Times New Roman" w:cs="Times New Roman"/>
          <w:sz w:val="24"/>
          <w:szCs w:val="24"/>
        </w:rPr>
        <w:t xml:space="preserve"> please refer: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website (www.sebi.gov.in) under the categories “Legal Framework / Circulars”. </w:t>
      </w:r>
      <w:r w:rsidRPr="00B74080">
        <w:rPr>
          <w:rFonts w:ascii="Times New Roman" w:hAnsi="Times New Roman" w:cs="Times New Roman"/>
          <w:sz w:val="24"/>
          <w:szCs w:val="24"/>
        </w:rPr>
        <w:cr/>
      </w:r>
    </w:p>
    <w:p w:rsidR="00D91B97" w:rsidRDefault="00D91B97" w:rsidP="00F17DA4">
      <w:pPr>
        <w:rPr>
          <w:rFonts w:ascii="Times New Roman" w:hAnsi="Times New Roman" w:cs="Times New Roman"/>
          <w:b/>
          <w:sz w:val="24"/>
          <w:szCs w:val="24"/>
        </w:rPr>
      </w:pPr>
      <w:r w:rsidRPr="00D91B97">
        <w:rPr>
          <w:rFonts w:ascii="Times New Roman" w:hAnsi="Times New Roman" w:cs="Times New Roman"/>
          <w:b/>
          <w:sz w:val="24"/>
          <w:szCs w:val="24"/>
        </w:rPr>
        <w:t xml:space="preserve">Additional relaxations in relation to the </w:t>
      </w:r>
      <w:proofErr w:type="spellStart"/>
      <w:r w:rsidRPr="00D91B97">
        <w:rPr>
          <w:rFonts w:ascii="Times New Roman" w:hAnsi="Times New Roman" w:cs="Times New Roman"/>
          <w:b/>
          <w:sz w:val="24"/>
          <w:szCs w:val="24"/>
        </w:rPr>
        <w:t>SEBI</w:t>
      </w:r>
      <w:proofErr w:type="spellEnd"/>
      <w:r w:rsidRPr="00D91B97">
        <w:rPr>
          <w:rFonts w:ascii="Times New Roman" w:hAnsi="Times New Roman" w:cs="Times New Roman"/>
          <w:b/>
          <w:sz w:val="24"/>
          <w:szCs w:val="24"/>
        </w:rPr>
        <w:t xml:space="preserve"> listing regulations</w:t>
      </w:r>
    </w:p>
    <w:p w:rsidR="00371C8C" w:rsidRPr="00371C8C" w:rsidRDefault="00371C8C" w:rsidP="00F17DA4">
      <w:pPr>
        <w:pStyle w:val="NormalWeb"/>
        <w:shd w:val="clear" w:color="auto" w:fill="FFFFFF"/>
        <w:spacing w:before="0" w:beforeAutospacing="0" w:after="136" w:afterAutospacing="0"/>
        <w:jc w:val="both"/>
      </w:pPr>
      <w:r w:rsidRPr="00371C8C">
        <w:t>Vide Circulars dated </w:t>
      </w:r>
      <w:hyperlink r:id="rId8" w:tgtFrame="_blank" w:history="1">
        <w:r w:rsidRPr="00371C8C">
          <w:rPr>
            <w:rStyle w:val="Hyperlink"/>
            <w:color w:val="auto"/>
            <w:u w:val="none"/>
          </w:rPr>
          <w:t>April 17, 2020</w:t>
        </w:r>
      </w:hyperlink>
      <w:r w:rsidRPr="00371C8C">
        <w:t>, and </w:t>
      </w:r>
      <w:hyperlink r:id="rId9" w:tgtFrame="_blank" w:history="1">
        <w:r w:rsidRPr="00371C8C">
          <w:rPr>
            <w:rStyle w:val="Hyperlink"/>
            <w:color w:val="auto"/>
            <w:u w:val="none"/>
          </w:rPr>
          <w:t>April 23, 2020</w:t>
        </w:r>
      </w:hyperlink>
      <w:r w:rsidRPr="00371C8C">
        <w:t xml:space="preserve">, </w:t>
      </w:r>
      <w:proofErr w:type="spellStart"/>
      <w:r w:rsidRPr="00371C8C">
        <w:t>SEBI</w:t>
      </w:r>
      <w:proofErr w:type="spellEnd"/>
      <w:r w:rsidRPr="00371C8C">
        <w:t xml:space="preserve"> has issued further relaxations and clarifications in respect of certain compliances, required under </w:t>
      </w:r>
      <w:proofErr w:type="spellStart"/>
      <w:r w:rsidRPr="00371C8C">
        <w:t>SEBI</w:t>
      </w:r>
      <w:proofErr w:type="spellEnd"/>
      <w:r w:rsidRPr="00371C8C">
        <w:t xml:space="preserve"> Listing Obligations and Disclosure Requirements) Regulations, 2015 (“</w:t>
      </w:r>
      <w:proofErr w:type="spellStart"/>
      <w:r w:rsidRPr="00371C8C">
        <w:t>LODR</w:t>
      </w:r>
      <w:proofErr w:type="spellEnd"/>
      <w:r w:rsidRPr="00371C8C">
        <w:t xml:space="preserve">”) to the listed entitles. The key features of the Circular dated April 17, 2020 </w:t>
      </w:r>
      <w:proofErr w:type="gramStart"/>
      <w:r w:rsidRPr="00371C8C">
        <w:t>have been outlined</w:t>
      </w:r>
      <w:proofErr w:type="gramEnd"/>
      <w:r w:rsidRPr="00371C8C">
        <w:t xml:space="preserve"> herein:</w:t>
      </w:r>
    </w:p>
    <w:p w:rsidR="00371C8C" w:rsidRPr="00371C8C" w:rsidRDefault="00371C8C" w:rsidP="00F17DA4">
      <w:pPr>
        <w:numPr>
          <w:ilvl w:val="0"/>
          <w:numId w:val="10"/>
        </w:numPr>
        <w:shd w:val="clear" w:color="auto" w:fill="FFFFFF"/>
        <w:spacing w:before="100" w:beforeAutospacing="1" w:after="168" w:line="240" w:lineRule="auto"/>
        <w:rPr>
          <w:rFonts w:ascii="Times New Roman" w:hAnsi="Times New Roman" w:cs="Times New Roman"/>
          <w:sz w:val="24"/>
          <w:szCs w:val="24"/>
        </w:rPr>
      </w:pPr>
      <w:r w:rsidRPr="00371C8C">
        <w:rPr>
          <w:rFonts w:ascii="Times New Roman" w:hAnsi="Times New Roman" w:cs="Times New Roman"/>
          <w:sz w:val="24"/>
          <w:szCs w:val="24"/>
        </w:rPr>
        <w:t xml:space="preserve">Minimum prior intimation to stock exchanges under Regulation 29, </w:t>
      </w:r>
      <w:proofErr w:type="spellStart"/>
      <w:r w:rsidRPr="00371C8C">
        <w:rPr>
          <w:rFonts w:ascii="Times New Roman" w:hAnsi="Times New Roman" w:cs="Times New Roman"/>
          <w:sz w:val="24"/>
          <w:szCs w:val="24"/>
        </w:rPr>
        <w:t>LODR</w:t>
      </w:r>
      <w:proofErr w:type="spellEnd"/>
      <w:r w:rsidRPr="00371C8C">
        <w:rPr>
          <w:rFonts w:ascii="Times New Roman" w:hAnsi="Times New Roman" w:cs="Times New Roman"/>
          <w:sz w:val="24"/>
          <w:szCs w:val="24"/>
        </w:rPr>
        <w:t xml:space="preserve"> of a minimum of 5 days for a board meeting where financial results are to be considered, has now been reduced to 2 days (whether or not working days) for board meetings that would be held until July 31, 2020;</w:t>
      </w:r>
    </w:p>
    <w:p w:rsidR="00371C8C" w:rsidRPr="00371C8C" w:rsidRDefault="00371C8C" w:rsidP="00F17DA4">
      <w:pPr>
        <w:numPr>
          <w:ilvl w:val="0"/>
          <w:numId w:val="10"/>
        </w:numPr>
        <w:shd w:val="clear" w:color="auto" w:fill="FFFFFF"/>
        <w:spacing w:before="100" w:beforeAutospacing="1" w:after="168" w:line="240" w:lineRule="auto"/>
        <w:rPr>
          <w:rFonts w:ascii="Times New Roman" w:hAnsi="Times New Roman" w:cs="Times New Roman"/>
          <w:sz w:val="24"/>
          <w:szCs w:val="24"/>
        </w:rPr>
      </w:pPr>
      <w:r w:rsidRPr="00371C8C">
        <w:rPr>
          <w:rFonts w:ascii="Times New Roman" w:hAnsi="Times New Roman" w:cs="Times New Roman"/>
          <w:sz w:val="24"/>
          <w:szCs w:val="24"/>
        </w:rPr>
        <w:t>Delay by listed companies in informing stock exchanges, beyond the stipulated time period of 2 days from receipt of information, regarding loss of share certificates and issue of duplicate certificates would now not attract specified penal provisions for intimations that were made between March 1, 2020 and May 31, 2020;</w:t>
      </w:r>
    </w:p>
    <w:p w:rsidR="00371C8C" w:rsidRPr="00371C8C" w:rsidRDefault="00371C8C" w:rsidP="00F17DA4">
      <w:pPr>
        <w:numPr>
          <w:ilvl w:val="0"/>
          <w:numId w:val="10"/>
        </w:numPr>
        <w:shd w:val="clear" w:color="auto" w:fill="FFFFFF"/>
        <w:spacing w:before="100" w:beforeAutospacing="1" w:after="168" w:line="240" w:lineRule="auto"/>
        <w:rPr>
          <w:rFonts w:ascii="Times New Roman" w:hAnsi="Times New Roman" w:cs="Times New Roman"/>
          <w:sz w:val="24"/>
          <w:szCs w:val="24"/>
        </w:rPr>
      </w:pPr>
      <w:r w:rsidRPr="00371C8C">
        <w:rPr>
          <w:rFonts w:ascii="Times New Roman" w:hAnsi="Times New Roman" w:cs="Times New Roman"/>
          <w:sz w:val="24"/>
          <w:szCs w:val="24"/>
        </w:rPr>
        <w:t xml:space="preserve">Digital signature certifications can/may be used for authentication of any filing and, or submissions made to the stock exchanges under the </w:t>
      </w:r>
      <w:proofErr w:type="spellStart"/>
      <w:r w:rsidRPr="00371C8C">
        <w:rPr>
          <w:rFonts w:ascii="Times New Roman" w:hAnsi="Times New Roman" w:cs="Times New Roman"/>
          <w:sz w:val="24"/>
          <w:szCs w:val="24"/>
        </w:rPr>
        <w:t>LODR</w:t>
      </w:r>
      <w:proofErr w:type="spellEnd"/>
      <w:r w:rsidRPr="00371C8C">
        <w:rPr>
          <w:rFonts w:ascii="Times New Roman" w:hAnsi="Times New Roman" w:cs="Times New Roman"/>
          <w:sz w:val="24"/>
          <w:szCs w:val="24"/>
        </w:rPr>
        <w:t xml:space="preserve"> till June 30, 2020;</w:t>
      </w:r>
    </w:p>
    <w:p w:rsidR="00371C8C" w:rsidRPr="00371C8C" w:rsidRDefault="00371C8C" w:rsidP="00F17DA4">
      <w:pPr>
        <w:numPr>
          <w:ilvl w:val="0"/>
          <w:numId w:val="10"/>
        </w:numPr>
        <w:shd w:val="clear" w:color="auto" w:fill="FFFFFF"/>
        <w:spacing w:before="100" w:beforeAutospacing="1" w:after="168" w:line="240" w:lineRule="auto"/>
        <w:rPr>
          <w:rFonts w:ascii="Times New Roman" w:hAnsi="Times New Roman" w:cs="Times New Roman"/>
          <w:sz w:val="24"/>
          <w:szCs w:val="24"/>
        </w:rPr>
      </w:pPr>
      <w:r w:rsidRPr="00371C8C">
        <w:rPr>
          <w:rFonts w:ascii="Times New Roman" w:hAnsi="Times New Roman" w:cs="Times New Roman"/>
          <w:sz w:val="24"/>
          <w:szCs w:val="24"/>
        </w:rPr>
        <w:lastRenderedPageBreak/>
        <w:t>Entities consisting of listed non-convertible debentures and/or non-convertible</w:t>
      </w:r>
      <w:r w:rsidR="00C97777">
        <w:rPr>
          <w:rFonts w:ascii="Times New Roman" w:hAnsi="Times New Roman" w:cs="Times New Roman"/>
          <w:sz w:val="24"/>
          <w:szCs w:val="24"/>
        </w:rPr>
        <w:t xml:space="preserve"> </w:t>
      </w:r>
      <w:r w:rsidRPr="00371C8C">
        <w:rPr>
          <w:rFonts w:ascii="Times New Roman" w:hAnsi="Times New Roman" w:cs="Times New Roman"/>
          <w:sz w:val="24"/>
          <w:szCs w:val="24"/>
        </w:rPr>
        <w:t xml:space="preserve">redeemable preference shares </w:t>
      </w:r>
      <w:proofErr w:type="gramStart"/>
      <w:r w:rsidRPr="00371C8C">
        <w:rPr>
          <w:rFonts w:ascii="Times New Roman" w:hAnsi="Times New Roman" w:cs="Times New Roman"/>
          <w:sz w:val="24"/>
          <w:szCs w:val="24"/>
        </w:rPr>
        <w:t>shall be exempted</w:t>
      </w:r>
      <w:proofErr w:type="gramEnd"/>
      <w:r w:rsidRPr="00371C8C">
        <w:rPr>
          <w:rFonts w:ascii="Times New Roman" w:hAnsi="Times New Roman" w:cs="Times New Roman"/>
          <w:sz w:val="24"/>
          <w:szCs w:val="24"/>
        </w:rPr>
        <w:t xml:space="preserve"> from requirement of publishing advertisements in newspapers relating to its half yearly and annual financial results under Regulation 52(8), </w:t>
      </w:r>
      <w:proofErr w:type="spellStart"/>
      <w:r w:rsidRPr="00371C8C">
        <w:rPr>
          <w:rFonts w:ascii="Times New Roman" w:hAnsi="Times New Roman" w:cs="Times New Roman"/>
          <w:sz w:val="24"/>
          <w:szCs w:val="24"/>
        </w:rPr>
        <w:t>LODR</w:t>
      </w:r>
      <w:proofErr w:type="spellEnd"/>
      <w:r w:rsidRPr="00371C8C">
        <w:rPr>
          <w:rFonts w:ascii="Times New Roman" w:hAnsi="Times New Roman" w:cs="Times New Roman"/>
          <w:sz w:val="24"/>
          <w:szCs w:val="24"/>
        </w:rPr>
        <w:t xml:space="preserve"> until May 15, 2020.</w:t>
      </w:r>
    </w:p>
    <w:p w:rsidR="00371C8C" w:rsidRPr="00371C8C" w:rsidRDefault="00371C8C" w:rsidP="00F17DA4">
      <w:pPr>
        <w:pStyle w:val="NormalWeb"/>
        <w:shd w:val="clear" w:color="auto" w:fill="FFFFFF"/>
        <w:spacing w:before="0" w:beforeAutospacing="0" w:after="136" w:afterAutospacing="0"/>
        <w:jc w:val="both"/>
      </w:pPr>
      <w:proofErr w:type="gramStart"/>
      <w:r w:rsidRPr="00371C8C">
        <w:t>Further, in the </w:t>
      </w:r>
      <w:hyperlink r:id="rId10" w:tgtFrame="_blank" w:history="1">
        <w:r w:rsidRPr="00371C8C">
          <w:rPr>
            <w:rStyle w:val="Hyperlink"/>
            <w:color w:val="auto"/>
            <w:u w:val="none"/>
          </w:rPr>
          <w:t>Circular </w:t>
        </w:r>
      </w:hyperlink>
      <w:r w:rsidRPr="00371C8C">
        <w:t xml:space="preserve">dated April 23, 2020, </w:t>
      </w:r>
      <w:proofErr w:type="spellStart"/>
      <w:r w:rsidRPr="00371C8C">
        <w:t>SEBI</w:t>
      </w:r>
      <w:proofErr w:type="spellEnd"/>
      <w:r w:rsidRPr="00371C8C">
        <w:t xml:space="preserve"> also relaxed the requirements of holding annual general meeting (“AGM”) by the top 100 listed entities (in terms of market capitalization) while allowing such companies, whose financial year (“FY”) ended on December 31, 2019, to hold its AGM within a period of 9 months (earlier 5 months) from the closure of the FY i.e. up to September 30, 2020.</w:t>
      </w:r>
      <w:proofErr w:type="gramEnd"/>
    </w:p>
    <w:p w:rsidR="00371C8C" w:rsidRPr="00C97777" w:rsidRDefault="00C97777" w:rsidP="00F17DA4">
      <w:pPr>
        <w:rPr>
          <w:rFonts w:ascii="Times New Roman" w:hAnsi="Times New Roman" w:cs="Times New Roman"/>
          <w:sz w:val="24"/>
          <w:szCs w:val="24"/>
        </w:rPr>
      </w:pPr>
      <w:r>
        <w:rPr>
          <w:rFonts w:ascii="Times New Roman" w:hAnsi="Times New Roman" w:cs="Times New Roman"/>
          <w:sz w:val="24"/>
          <w:szCs w:val="24"/>
        </w:rPr>
        <w:t xml:space="preserve">For more details, you may access </w:t>
      </w:r>
      <w:proofErr w:type="spellStart"/>
      <w:r>
        <w:rPr>
          <w:rFonts w:ascii="Times New Roman" w:hAnsi="Times New Roman" w:cs="Times New Roman"/>
          <w:sz w:val="24"/>
          <w:szCs w:val="24"/>
        </w:rPr>
        <w:t>SEBI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website </w:t>
      </w:r>
      <w:r w:rsidR="005139E6">
        <w:rPr>
          <w:rFonts w:ascii="Times New Roman" w:hAnsi="Times New Roman" w:cs="Times New Roman"/>
          <w:sz w:val="24"/>
          <w:szCs w:val="24"/>
        </w:rPr>
        <w:t>:</w:t>
      </w:r>
      <w:proofErr w:type="gramEnd"/>
      <w:r w:rsidR="005139E6">
        <w:rPr>
          <w:rFonts w:ascii="Times New Roman" w:hAnsi="Times New Roman" w:cs="Times New Roman"/>
          <w:sz w:val="24"/>
          <w:szCs w:val="24"/>
        </w:rPr>
        <w:t xml:space="preserve"> </w:t>
      </w:r>
      <w:hyperlink r:id="rId11" w:history="1">
        <w:r w:rsidR="005139E6">
          <w:rPr>
            <w:rStyle w:val="Hyperlink"/>
          </w:rPr>
          <w:t>https://www.sebi.gov.in/</w:t>
        </w:r>
      </w:hyperlink>
    </w:p>
    <w:p w:rsidR="00601FDD" w:rsidRDefault="00593848" w:rsidP="00F17DA4">
      <w:pPr>
        <w:rPr>
          <w:rFonts w:ascii="Times New Roman" w:hAnsi="Times New Roman" w:cs="Times New Roman"/>
          <w:b/>
          <w:sz w:val="24"/>
          <w:szCs w:val="24"/>
        </w:rPr>
      </w:pPr>
      <w:r w:rsidRPr="00593848">
        <w:rPr>
          <w:rFonts w:ascii="Times New Roman" w:hAnsi="Times New Roman" w:cs="Times New Roman"/>
          <w:b/>
          <w:sz w:val="24"/>
          <w:szCs w:val="24"/>
        </w:rPr>
        <w:t>Relaxations with respect to a Rights Issue</w:t>
      </w:r>
    </w:p>
    <w:p w:rsidR="005139E6" w:rsidRPr="005139E6" w:rsidRDefault="005139E6" w:rsidP="00F17DA4">
      <w:pPr>
        <w:pStyle w:val="NormalWeb"/>
        <w:shd w:val="clear" w:color="auto" w:fill="FFFFFF"/>
        <w:spacing w:before="0" w:beforeAutospacing="0" w:after="136" w:afterAutospacing="0"/>
        <w:jc w:val="both"/>
      </w:pPr>
      <w:proofErr w:type="spellStart"/>
      <w:r w:rsidRPr="005139E6">
        <w:t>SEBI</w:t>
      </w:r>
      <w:proofErr w:type="spellEnd"/>
      <w:r w:rsidRPr="005139E6">
        <w:t>, vide its </w:t>
      </w:r>
      <w:hyperlink r:id="rId12" w:tgtFrame="_blank" w:history="1">
        <w:r w:rsidRPr="005139E6">
          <w:rPr>
            <w:rStyle w:val="Hyperlink"/>
            <w:color w:val="auto"/>
          </w:rPr>
          <w:t>Circular </w:t>
        </w:r>
      </w:hyperlink>
      <w:r w:rsidRPr="005139E6">
        <w:t>dated April 21, 2020, introduced temporary relaxations for companies undertaking a Rights issue. Relaxations granted are in respect of: (</w:t>
      </w:r>
      <w:proofErr w:type="spellStart"/>
      <w:r w:rsidRPr="005139E6">
        <w:t>i</w:t>
      </w:r>
      <w:proofErr w:type="spellEnd"/>
      <w:r w:rsidRPr="005139E6">
        <w:t xml:space="preserve">) minimum subscriptions; (ii) minimum threshold for filing the draft letter of offer with </w:t>
      </w:r>
      <w:proofErr w:type="spellStart"/>
      <w:r w:rsidRPr="005139E6">
        <w:t>SEBI</w:t>
      </w:r>
      <w:proofErr w:type="spellEnd"/>
      <w:r w:rsidRPr="005139E6">
        <w:t>; and (iii) the eligibility conditions for companies undertaking a fast track rights issue.</w:t>
      </w:r>
    </w:p>
    <w:p w:rsidR="005139E6" w:rsidRPr="005139E6" w:rsidRDefault="005139E6" w:rsidP="00F17DA4">
      <w:pPr>
        <w:pStyle w:val="NormalWeb"/>
        <w:shd w:val="clear" w:color="auto" w:fill="FFFFFF"/>
        <w:spacing w:before="0" w:beforeAutospacing="0" w:after="136" w:afterAutospacing="0"/>
        <w:jc w:val="both"/>
      </w:pPr>
      <w:r w:rsidRPr="005139E6">
        <w:t xml:space="preserve">These relaxations would be applicable for rights issue that may open on or before March 31, 2021. In terms of the above noted Circular, </w:t>
      </w:r>
      <w:proofErr w:type="gramStart"/>
      <w:r w:rsidRPr="005139E6">
        <w:t>companies undertaking a Rights issue, the criteria for the minimum subscription has</w:t>
      </w:r>
      <w:proofErr w:type="gramEnd"/>
      <w:r w:rsidRPr="005139E6">
        <w:t xml:space="preserve"> now been reduced to 75% from the earlier existing requirement of 90%. Furthermore, the companies would not be required to file a draft letter of offer with </w:t>
      </w:r>
      <w:proofErr w:type="spellStart"/>
      <w:r w:rsidRPr="005139E6">
        <w:t>SEBI</w:t>
      </w:r>
      <w:proofErr w:type="spellEnd"/>
      <w:r w:rsidRPr="005139E6">
        <w:t xml:space="preserve"> (as is/was required), if the issue size for a Rights issue is up to </w:t>
      </w:r>
      <w:proofErr w:type="spellStart"/>
      <w:r w:rsidRPr="005139E6">
        <w:t>INR</w:t>
      </w:r>
      <w:proofErr w:type="spellEnd"/>
      <w:r w:rsidRPr="005139E6">
        <w:t xml:space="preserve"> 25 </w:t>
      </w:r>
      <w:proofErr w:type="spellStart"/>
      <w:r w:rsidRPr="005139E6">
        <w:t>crore</w:t>
      </w:r>
      <w:proofErr w:type="spellEnd"/>
      <w:r w:rsidRPr="005139E6">
        <w:t xml:space="preserve">, in contrast to the existing minimum threshold of </w:t>
      </w:r>
      <w:proofErr w:type="spellStart"/>
      <w:r w:rsidRPr="005139E6">
        <w:t>INR</w:t>
      </w:r>
      <w:proofErr w:type="spellEnd"/>
      <w:r w:rsidRPr="005139E6">
        <w:t xml:space="preserve"> 10 </w:t>
      </w:r>
      <w:proofErr w:type="spellStart"/>
      <w:proofErr w:type="gramStart"/>
      <w:r w:rsidRPr="005139E6">
        <w:t>crore</w:t>
      </w:r>
      <w:proofErr w:type="spellEnd"/>
      <w:proofErr w:type="gramEnd"/>
      <w:r w:rsidRPr="005139E6">
        <w:t>. </w:t>
      </w:r>
    </w:p>
    <w:p w:rsidR="005139E6" w:rsidRPr="005139E6" w:rsidRDefault="005139E6" w:rsidP="00F17DA4">
      <w:pPr>
        <w:pStyle w:val="NormalWeb"/>
        <w:shd w:val="clear" w:color="auto" w:fill="FFFFFF"/>
        <w:spacing w:before="0" w:beforeAutospacing="0" w:after="136" w:afterAutospacing="0"/>
        <w:jc w:val="both"/>
      </w:pPr>
      <w:r w:rsidRPr="005139E6">
        <w:t xml:space="preserve">The </w:t>
      </w:r>
      <w:proofErr w:type="spellStart"/>
      <w:r w:rsidRPr="005139E6">
        <w:t>SEBI</w:t>
      </w:r>
      <w:proofErr w:type="spellEnd"/>
      <w:r w:rsidRPr="005139E6">
        <w:t xml:space="preserve"> Circular also offers the following additional relaxations to the eligibility requirements for a company undertaking a fast track rights issue:</w:t>
      </w:r>
    </w:p>
    <w:p w:rsidR="005139E6" w:rsidRPr="005139E6" w:rsidRDefault="005139E6" w:rsidP="00F17DA4">
      <w:pPr>
        <w:numPr>
          <w:ilvl w:val="0"/>
          <w:numId w:val="11"/>
        </w:numPr>
        <w:shd w:val="clear" w:color="auto" w:fill="FFFFFF"/>
        <w:spacing w:before="100" w:beforeAutospacing="1" w:after="168" w:line="240" w:lineRule="auto"/>
        <w:rPr>
          <w:rFonts w:ascii="Times New Roman" w:hAnsi="Times New Roman" w:cs="Times New Roman"/>
          <w:sz w:val="24"/>
          <w:szCs w:val="24"/>
        </w:rPr>
      </w:pPr>
      <w:r w:rsidRPr="005139E6">
        <w:rPr>
          <w:rFonts w:ascii="Times New Roman" w:hAnsi="Times New Roman" w:cs="Times New Roman"/>
          <w:sz w:val="24"/>
          <w:szCs w:val="24"/>
        </w:rPr>
        <w:t xml:space="preserve">The period of: (a) having the equity shares listed on stock exchange; (b) having complied with either the listing agreement or the requirements in accordance with the </w:t>
      </w:r>
      <w:proofErr w:type="spellStart"/>
      <w:r w:rsidRPr="005139E6">
        <w:rPr>
          <w:rFonts w:ascii="Times New Roman" w:hAnsi="Times New Roman" w:cs="Times New Roman"/>
          <w:sz w:val="24"/>
          <w:szCs w:val="24"/>
        </w:rPr>
        <w:t>LODR</w:t>
      </w:r>
      <w:proofErr w:type="spellEnd"/>
      <w:r w:rsidRPr="005139E6">
        <w:rPr>
          <w:rFonts w:ascii="Times New Roman" w:hAnsi="Times New Roman" w:cs="Times New Roman"/>
          <w:sz w:val="24"/>
          <w:szCs w:val="24"/>
        </w:rPr>
        <w:t xml:space="preserve"> immediately preceding the reference date; and (c) the equity shares not being suspended from trading of the equity shares as a disciplinary measure immediately preceding the reference date; now stands reduced to 18 months, which was previously 3 years;</w:t>
      </w:r>
    </w:p>
    <w:p w:rsidR="005139E6" w:rsidRPr="005139E6" w:rsidRDefault="005139E6" w:rsidP="00F17DA4">
      <w:pPr>
        <w:numPr>
          <w:ilvl w:val="0"/>
          <w:numId w:val="11"/>
        </w:numPr>
        <w:shd w:val="clear" w:color="auto" w:fill="FFFFFF"/>
        <w:spacing w:before="100" w:beforeAutospacing="1" w:after="168" w:line="240" w:lineRule="auto"/>
        <w:rPr>
          <w:rFonts w:ascii="Times New Roman" w:hAnsi="Times New Roman" w:cs="Times New Roman"/>
          <w:sz w:val="24"/>
          <w:szCs w:val="24"/>
        </w:rPr>
      </w:pPr>
      <w:r w:rsidRPr="005139E6">
        <w:rPr>
          <w:rFonts w:ascii="Times New Roman" w:hAnsi="Times New Roman" w:cs="Times New Roman"/>
          <w:sz w:val="24"/>
          <w:szCs w:val="24"/>
        </w:rPr>
        <w:t xml:space="preserve">The minimum average market capitalization of public shareholding of the issuer has now been reduced to </w:t>
      </w:r>
      <w:proofErr w:type="spellStart"/>
      <w:r w:rsidRPr="005139E6">
        <w:rPr>
          <w:rFonts w:ascii="Times New Roman" w:hAnsi="Times New Roman" w:cs="Times New Roman"/>
          <w:sz w:val="24"/>
          <w:szCs w:val="24"/>
        </w:rPr>
        <w:t>INR</w:t>
      </w:r>
      <w:proofErr w:type="spellEnd"/>
      <w:r w:rsidRPr="005139E6">
        <w:rPr>
          <w:rFonts w:ascii="Times New Roman" w:hAnsi="Times New Roman" w:cs="Times New Roman"/>
          <w:sz w:val="24"/>
          <w:szCs w:val="24"/>
        </w:rPr>
        <w:t xml:space="preserve"> 100 </w:t>
      </w:r>
      <w:proofErr w:type="spellStart"/>
      <w:r w:rsidRPr="005139E6">
        <w:rPr>
          <w:rFonts w:ascii="Times New Roman" w:hAnsi="Times New Roman" w:cs="Times New Roman"/>
          <w:sz w:val="24"/>
          <w:szCs w:val="24"/>
        </w:rPr>
        <w:t>crore</w:t>
      </w:r>
      <w:proofErr w:type="spellEnd"/>
      <w:r w:rsidRPr="005139E6">
        <w:rPr>
          <w:rFonts w:ascii="Times New Roman" w:hAnsi="Times New Roman" w:cs="Times New Roman"/>
          <w:sz w:val="24"/>
          <w:szCs w:val="24"/>
        </w:rPr>
        <w:t xml:space="preserve">, previously 250 </w:t>
      </w:r>
      <w:proofErr w:type="spellStart"/>
      <w:r w:rsidRPr="005139E6">
        <w:rPr>
          <w:rFonts w:ascii="Times New Roman" w:hAnsi="Times New Roman" w:cs="Times New Roman"/>
          <w:sz w:val="24"/>
          <w:szCs w:val="24"/>
        </w:rPr>
        <w:t>crore</w:t>
      </w:r>
      <w:proofErr w:type="spellEnd"/>
      <w:r w:rsidRPr="005139E6">
        <w:rPr>
          <w:rFonts w:ascii="Times New Roman" w:hAnsi="Times New Roman" w:cs="Times New Roman"/>
          <w:sz w:val="24"/>
          <w:szCs w:val="24"/>
        </w:rPr>
        <w:t>;</w:t>
      </w:r>
    </w:p>
    <w:p w:rsidR="005139E6" w:rsidRPr="005139E6" w:rsidRDefault="005139E6" w:rsidP="00F17DA4">
      <w:pPr>
        <w:numPr>
          <w:ilvl w:val="0"/>
          <w:numId w:val="11"/>
        </w:numPr>
        <w:shd w:val="clear" w:color="auto" w:fill="FFFFFF"/>
        <w:spacing w:before="100" w:beforeAutospacing="1" w:after="168" w:line="240" w:lineRule="auto"/>
        <w:rPr>
          <w:rFonts w:ascii="Times New Roman" w:hAnsi="Times New Roman" w:cs="Times New Roman"/>
          <w:sz w:val="24"/>
          <w:szCs w:val="24"/>
        </w:rPr>
      </w:pPr>
      <w:r w:rsidRPr="005139E6">
        <w:rPr>
          <w:rFonts w:ascii="Times New Roman" w:hAnsi="Times New Roman" w:cs="Times New Roman"/>
          <w:sz w:val="24"/>
          <w:szCs w:val="24"/>
        </w:rPr>
        <w:t xml:space="preserve">In cases of show cause notices, excluding the ones required under adjudication proceedings, issued by </w:t>
      </w:r>
      <w:proofErr w:type="spellStart"/>
      <w:r w:rsidRPr="005139E6">
        <w:rPr>
          <w:rFonts w:ascii="Times New Roman" w:hAnsi="Times New Roman" w:cs="Times New Roman"/>
          <w:sz w:val="24"/>
          <w:szCs w:val="24"/>
        </w:rPr>
        <w:t>SEBI</w:t>
      </w:r>
      <w:proofErr w:type="spellEnd"/>
      <w:r w:rsidRPr="005139E6">
        <w:rPr>
          <w:rFonts w:ascii="Times New Roman" w:hAnsi="Times New Roman" w:cs="Times New Roman"/>
          <w:sz w:val="24"/>
          <w:szCs w:val="24"/>
        </w:rPr>
        <w:t xml:space="preserve"> against the issuer/ promoters / whole-time directors as on the reference date such issuers would now be eligible to apply in fast track Rights issue. Furthermore, adequate disclosures with regards to: (a) show cause notices issued by </w:t>
      </w:r>
      <w:proofErr w:type="spellStart"/>
      <w:r w:rsidRPr="005139E6">
        <w:rPr>
          <w:rFonts w:ascii="Times New Roman" w:hAnsi="Times New Roman" w:cs="Times New Roman"/>
          <w:sz w:val="24"/>
          <w:szCs w:val="24"/>
        </w:rPr>
        <w:t>SEBI</w:t>
      </w:r>
      <w:proofErr w:type="spellEnd"/>
      <w:r w:rsidRPr="005139E6">
        <w:rPr>
          <w:rFonts w:ascii="Times New Roman" w:hAnsi="Times New Roman" w:cs="Times New Roman"/>
          <w:sz w:val="24"/>
          <w:szCs w:val="24"/>
        </w:rPr>
        <w:t xml:space="preserve"> in adjudication proceedings; and (b) prosecution proceedings initiated by </w:t>
      </w:r>
      <w:proofErr w:type="spellStart"/>
      <w:r w:rsidRPr="005139E6">
        <w:rPr>
          <w:rFonts w:ascii="Times New Roman" w:hAnsi="Times New Roman" w:cs="Times New Roman"/>
          <w:sz w:val="24"/>
          <w:szCs w:val="24"/>
        </w:rPr>
        <w:t>SEBI</w:t>
      </w:r>
      <w:proofErr w:type="spellEnd"/>
      <w:r w:rsidRPr="005139E6">
        <w:rPr>
          <w:rFonts w:ascii="Times New Roman" w:hAnsi="Times New Roman" w:cs="Times New Roman"/>
          <w:sz w:val="24"/>
          <w:szCs w:val="24"/>
        </w:rPr>
        <w:t>, against the issuer, promoters, directors or group companies, are required to be made in the letter of offer along with due consideration to its potential impact on the issuer;</w:t>
      </w:r>
    </w:p>
    <w:p w:rsidR="005139E6" w:rsidRPr="005139E6" w:rsidRDefault="005139E6" w:rsidP="00F17DA4">
      <w:pPr>
        <w:numPr>
          <w:ilvl w:val="0"/>
          <w:numId w:val="11"/>
        </w:numPr>
        <w:shd w:val="clear" w:color="auto" w:fill="FFFFFF"/>
        <w:spacing w:before="100" w:beforeAutospacing="1" w:after="168" w:line="240" w:lineRule="auto"/>
        <w:rPr>
          <w:rFonts w:ascii="Times New Roman" w:hAnsi="Times New Roman" w:cs="Times New Roman"/>
          <w:sz w:val="24"/>
          <w:szCs w:val="24"/>
        </w:rPr>
      </w:pPr>
      <w:r w:rsidRPr="005139E6">
        <w:rPr>
          <w:rFonts w:ascii="Times New Roman" w:hAnsi="Times New Roman" w:cs="Times New Roman"/>
          <w:sz w:val="24"/>
          <w:szCs w:val="24"/>
        </w:rPr>
        <w:t xml:space="preserve">The issuers, promoters, promoter groups or the directors who have fulfilled the settlement terms or have adhered to the directions of the settlement order issued by </w:t>
      </w:r>
      <w:proofErr w:type="spellStart"/>
      <w:r w:rsidRPr="005139E6">
        <w:rPr>
          <w:rFonts w:ascii="Times New Roman" w:hAnsi="Times New Roman" w:cs="Times New Roman"/>
          <w:sz w:val="24"/>
          <w:szCs w:val="24"/>
        </w:rPr>
        <w:t>SEBI</w:t>
      </w:r>
      <w:proofErr w:type="spellEnd"/>
      <w:r w:rsidRPr="005139E6">
        <w:rPr>
          <w:rFonts w:ascii="Times New Roman" w:hAnsi="Times New Roman" w:cs="Times New Roman"/>
          <w:sz w:val="24"/>
          <w:szCs w:val="24"/>
        </w:rPr>
        <w:t xml:space="preserve"> through consent or settlement mechanism, would now be eligible to participate; and</w:t>
      </w:r>
    </w:p>
    <w:p w:rsidR="005139E6" w:rsidRDefault="005139E6" w:rsidP="00F17DA4">
      <w:pPr>
        <w:numPr>
          <w:ilvl w:val="0"/>
          <w:numId w:val="11"/>
        </w:numPr>
        <w:shd w:val="clear" w:color="auto" w:fill="FFFFFF"/>
        <w:spacing w:before="100" w:beforeAutospacing="1" w:after="168" w:line="240" w:lineRule="auto"/>
        <w:rPr>
          <w:rFonts w:ascii="Times New Roman" w:hAnsi="Times New Roman" w:cs="Times New Roman"/>
          <w:sz w:val="24"/>
          <w:szCs w:val="24"/>
        </w:rPr>
      </w:pPr>
      <w:r w:rsidRPr="005139E6">
        <w:rPr>
          <w:rFonts w:ascii="Times New Roman" w:hAnsi="Times New Roman" w:cs="Times New Roman"/>
          <w:sz w:val="24"/>
          <w:szCs w:val="24"/>
        </w:rPr>
        <w:lastRenderedPageBreak/>
        <w:t xml:space="preserve">Where financial statements of the issuers, as disclosed in the letter of offer, consists of any/all audit qualifications, such issuer may now include the restated financial statements in the letter of offer, while adjusting the impact of these audit qualifications. Further, where the impact of such audit qualifications </w:t>
      </w:r>
      <w:proofErr w:type="gramStart"/>
      <w:r w:rsidRPr="005139E6">
        <w:rPr>
          <w:rFonts w:ascii="Times New Roman" w:hAnsi="Times New Roman" w:cs="Times New Roman"/>
          <w:sz w:val="24"/>
          <w:szCs w:val="24"/>
        </w:rPr>
        <w:t>cannot be clearly ascertained</w:t>
      </w:r>
      <w:proofErr w:type="gramEnd"/>
      <w:r w:rsidRPr="005139E6">
        <w:rPr>
          <w:rFonts w:ascii="Times New Roman" w:hAnsi="Times New Roman" w:cs="Times New Roman"/>
          <w:sz w:val="24"/>
          <w:szCs w:val="24"/>
        </w:rPr>
        <w:t>, the same would now have to be disclosed appropriately in the letter of offer.</w:t>
      </w:r>
    </w:p>
    <w:p w:rsidR="005139E6" w:rsidRPr="005139E6" w:rsidRDefault="005139E6" w:rsidP="00F17DA4">
      <w:pPr>
        <w:shd w:val="clear" w:color="auto" w:fill="FFFFFF"/>
        <w:spacing w:before="100" w:beforeAutospacing="1" w:after="168" w:line="240" w:lineRule="auto"/>
        <w:ind w:left="720"/>
        <w:rPr>
          <w:rFonts w:ascii="Times New Roman" w:hAnsi="Times New Roman" w:cs="Times New Roman"/>
          <w:sz w:val="24"/>
          <w:szCs w:val="24"/>
        </w:rPr>
      </w:pPr>
      <w:r>
        <w:rPr>
          <w:rFonts w:ascii="Times New Roman" w:hAnsi="Times New Roman" w:cs="Times New Roman"/>
          <w:sz w:val="24"/>
          <w:szCs w:val="24"/>
        </w:rPr>
        <w:t xml:space="preserve">For more details, you may access </w:t>
      </w:r>
      <w:proofErr w:type="spellStart"/>
      <w:r>
        <w:rPr>
          <w:rFonts w:ascii="Times New Roman" w:hAnsi="Times New Roman" w:cs="Times New Roman"/>
          <w:sz w:val="24"/>
          <w:szCs w:val="24"/>
        </w:rPr>
        <w:t>SEBI</w:t>
      </w:r>
      <w:proofErr w:type="spellEnd"/>
      <w:r>
        <w:rPr>
          <w:rFonts w:ascii="Times New Roman" w:hAnsi="Times New Roman" w:cs="Times New Roman"/>
          <w:sz w:val="24"/>
          <w:szCs w:val="24"/>
        </w:rPr>
        <w:t xml:space="preserve"> website: </w:t>
      </w:r>
      <w:hyperlink r:id="rId13" w:history="1">
        <w:r>
          <w:rPr>
            <w:rStyle w:val="Hyperlink"/>
          </w:rPr>
          <w:t>https://www.sebi.gov.in/</w:t>
        </w:r>
      </w:hyperlink>
    </w:p>
    <w:p w:rsidR="00593848" w:rsidRPr="005139E6" w:rsidRDefault="00593848" w:rsidP="00F17DA4">
      <w:pPr>
        <w:ind w:left="720"/>
        <w:rPr>
          <w:rFonts w:ascii="Times New Roman" w:hAnsi="Times New Roman" w:cs="Times New Roman"/>
          <w:sz w:val="24"/>
          <w:szCs w:val="24"/>
        </w:rPr>
      </w:pPr>
    </w:p>
    <w:p w:rsidR="007F2C63" w:rsidRDefault="00F87A89" w:rsidP="00F17DA4">
      <w:pPr>
        <w:rPr>
          <w:rFonts w:ascii="Times New Roman" w:hAnsi="Times New Roman" w:cs="Times New Roman"/>
          <w:b/>
          <w:sz w:val="24"/>
          <w:szCs w:val="24"/>
        </w:rPr>
      </w:pPr>
      <w:r w:rsidRPr="00F87A89">
        <w:rPr>
          <w:rFonts w:ascii="Times New Roman" w:hAnsi="Times New Roman" w:cs="Times New Roman"/>
          <w:b/>
          <w:sz w:val="24"/>
          <w:szCs w:val="24"/>
        </w:rPr>
        <w:t xml:space="preserve">One-time relaxations relating to the validity of </w:t>
      </w:r>
      <w:proofErr w:type="spellStart"/>
      <w:r w:rsidRPr="00F87A89">
        <w:rPr>
          <w:rFonts w:ascii="Times New Roman" w:hAnsi="Times New Roman" w:cs="Times New Roman"/>
          <w:b/>
          <w:sz w:val="24"/>
          <w:szCs w:val="24"/>
        </w:rPr>
        <w:t>SEBI</w:t>
      </w:r>
      <w:proofErr w:type="spellEnd"/>
      <w:r w:rsidRPr="00F87A89">
        <w:rPr>
          <w:rFonts w:ascii="Times New Roman" w:hAnsi="Times New Roman" w:cs="Times New Roman"/>
          <w:b/>
          <w:sz w:val="24"/>
          <w:szCs w:val="24"/>
        </w:rPr>
        <w:t xml:space="preserve"> observations in case of a Public Issue and a Rights Issue</w:t>
      </w:r>
    </w:p>
    <w:p w:rsidR="00F87A89" w:rsidRPr="00F87A89" w:rsidRDefault="00F87A89" w:rsidP="00F17DA4">
      <w:pPr>
        <w:rPr>
          <w:rFonts w:ascii="Times New Roman" w:hAnsi="Times New Roman" w:cs="Times New Roman"/>
          <w:sz w:val="24"/>
          <w:szCs w:val="24"/>
        </w:rPr>
      </w:pPr>
      <w:r w:rsidRPr="00F87A89">
        <w:rPr>
          <w:rFonts w:ascii="Times New Roman" w:hAnsi="Times New Roman" w:cs="Times New Roman"/>
          <w:sz w:val="24"/>
          <w:szCs w:val="24"/>
        </w:rPr>
        <w:t xml:space="preserve">Vide a Circular dated April 21, 2020,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decided to extend the validity of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observations on all public issues/ rights issues by a period of 6 months from the date of expiry for issuers whose observation has expired or will expire between March 1, 2020 to September 30, 2020. Currently, a public issue / rights issue </w:t>
      </w:r>
      <w:proofErr w:type="gramStart"/>
      <w:r w:rsidRPr="00F87A89">
        <w:rPr>
          <w:rFonts w:ascii="Times New Roman" w:hAnsi="Times New Roman" w:cs="Times New Roman"/>
          <w:sz w:val="24"/>
          <w:szCs w:val="24"/>
        </w:rPr>
        <w:t>may/can be opened</w:t>
      </w:r>
      <w:proofErr w:type="gramEnd"/>
      <w:r w:rsidRPr="00F87A89">
        <w:rPr>
          <w:rFonts w:ascii="Times New Roman" w:hAnsi="Times New Roman" w:cs="Times New Roman"/>
          <w:sz w:val="24"/>
          <w:szCs w:val="24"/>
        </w:rPr>
        <w:t xml:space="preserve"> within a span of 12 months from the date of issuance of observations by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This </w:t>
      </w:r>
      <w:proofErr w:type="gramStart"/>
      <w:r w:rsidRPr="00F87A89">
        <w:rPr>
          <w:rFonts w:ascii="Times New Roman" w:hAnsi="Times New Roman" w:cs="Times New Roman"/>
          <w:sz w:val="24"/>
          <w:szCs w:val="24"/>
        </w:rPr>
        <w:t>is permitted</w:t>
      </w:r>
      <w:proofErr w:type="gramEnd"/>
      <w:r w:rsidRPr="00F87A89">
        <w:rPr>
          <w:rFonts w:ascii="Times New Roman" w:hAnsi="Times New Roman" w:cs="Times New Roman"/>
          <w:sz w:val="24"/>
          <w:szCs w:val="24"/>
        </w:rPr>
        <w:t xml:space="preserve"> provided an undertaking from a lead manager of the issue confirming compliance with Schedule XVI,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(Issue of Capital and Disclosure Requirements) Regulations, 2018, while submitting its updated offer document with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w:t>
      </w:r>
    </w:p>
    <w:p w:rsidR="00F87A89" w:rsidRPr="00F87A89" w:rsidRDefault="00F87A89" w:rsidP="00F17DA4">
      <w:pPr>
        <w:rPr>
          <w:rFonts w:ascii="Times New Roman" w:hAnsi="Times New Roman" w:cs="Times New Roman"/>
          <w:sz w:val="24"/>
          <w:szCs w:val="24"/>
        </w:rPr>
      </w:pPr>
      <w:r w:rsidRPr="00F87A89">
        <w:rPr>
          <w:rFonts w:ascii="Times New Roman" w:hAnsi="Times New Roman" w:cs="Times New Roman"/>
          <w:sz w:val="24"/>
          <w:szCs w:val="24"/>
        </w:rPr>
        <w:t xml:space="preserve">Further, an issuer, whose offer document is pending receipt of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observation, would also be permitted to increase or decrease the fresh issue size of the estimated issue size to up to 50% (present limit 20%) without requiring </w:t>
      </w:r>
      <w:proofErr w:type="gramStart"/>
      <w:r w:rsidRPr="00F87A89">
        <w:rPr>
          <w:rFonts w:ascii="Times New Roman" w:hAnsi="Times New Roman" w:cs="Times New Roman"/>
          <w:sz w:val="24"/>
          <w:szCs w:val="24"/>
        </w:rPr>
        <w:t>to file</w:t>
      </w:r>
      <w:proofErr w:type="gramEnd"/>
      <w:r w:rsidRPr="00F87A89">
        <w:rPr>
          <w:rFonts w:ascii="Times New Roman" w:hAnsi="Times New Roman" w:cs="Times New Roman"/>
          <w:sz w:val="24"/>
          <w:szCs w:val="24"/>
        </w:rPr>
        <w:t xml:space="preserve"> a fresh draft offer document with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The relaxation would be applicable for all offer documents pending receipt of </w:t>
      </w:r>
      <w:proofErr w:type="spellStart"/>
      <w:r w:rsidRPr="00F87A89">
        <w:rPr>
          <w:rFonts w:ascii="Times New Roman" w:hAnsi="Times New Roman" w:cs="Times New Roman"/>
          <w:sz w:val="24"/>
          <w:szCs w:val="24"/>
        </w:rPr>
        <w:t>SEBI</w:t>
      </w:r>
      <w:proofErr w:type="spellEnd"/>
      <w:r w:rsidRPr="00F87A89">
        <w:rPr>
          <w:rFonts w:ascii="Times New Roman" w:hAnsi="Times New Roman" w:cs="Times New Roman"/>
          <w:sz w:val="24"/>
          <w:szCs w:val="24"/>
        </w:rPr>
        <w:t xml:space="preserve"> observations </w:t>
      </w:r>
      <w:proofErr w:type="gramStart"/>
      <w:r w:rsidRPr="00F87A89">
        <w:rPr>
          <w:rFonts w:ascii="Times New Roman" w:hAnsi="Times New Roman" w:cs="Times New Roman"/>
          <w:sz w:val="24"/>
          <w:szCs w:val="24"/>
        </w:rPr>
        <w:t>till</w:t>
      </w:r>
      <w:proofErr w:type="gramEnd"/>
      <w:r w:rsidRPr="00F87A89">
        <w:rPr>
          <w:rFonts w:ascii="Times New Roman" w:hAnsi="Times New Roman" w:cs="Times New Roman"/>
          <w:sz w:val="24"/>
          <w:szCs w:val="24"/>
        </w:rPr>
        <w:t xml:space="preserve"> December 31, 2020.</w:t>
      </w:r>
    </w:p>
    <w:p w:rsidR="00F87A89" w:rsidRDefault="00F87A89" w:rsidP="00F17DA4">
      <w:r w:rsidRPr="00F87A89">
        <w:rPr>
          <w:rFonts w:ascii="Times New Roman" w:hAnsi="Times New Roman" w:cs="Times New Roman"/>
          <w:sz w:val="24"/>
          <w:szCs w:val="24"/>
        </w:rPr>
        <w:t xml:space="preserve">For </w:t>
      </w:r>
      <w:r>
        <w:rPr>
          <w:rFonts w:ascii="Times New Roman" w:hAnsi="Times New Roman" w:cs="Times New Roman"/>
          <w:sz w:val="24"/>
          <w:szCs w:val="24"/>
        </w:rPr>
        <w:t xml:space="preserve">more details, you may access </w:t>
      </w:r>
      <w:proofErr w:type="spellStart"/>
      <w:r>
        <w:rPr>
          <w:rFonts w:ascii="Times New Roman" w:hAnsi="Times New Roman" w:cs="Times New Roman"/>
          <w:sz w:val="24"/>
          <w:szCs w:val="24"/>
        </w:rPr>
        <w:t>SEBI</w:t>
      </w:r>
      <w:proofErr w:type="spellEnd"/>
      <w:r>
        <w:rPr>
          <w:rFonts w:ascii="Times New Roman" w:hAnsi="Times New Roman" w:cs="Times New Roman"/>
          <w:sz w:val="24"/>
          <w:szCs w:val="24"/>
        </w:rPr>
        <w:t xml:space="preserve"> website: </w:t>
      </w:r>
      <w:hyperlink r:id="rId14" w:history="1">
        <w:r>
          <w:rPr>
            <w:rStyle w:val="Hyperlink"/>
          </w:rPr>
          <w:t>https://www.sebi.gov.in/</w:t>
        </w:r>
      </w:hyperlink>
    </w:p>
    <w:p w:rsidR="00D67E76" w:rsidRDefault="00D67E76" w:rsidP="00F17DA4"/>
    <w:p w:rsidR="007E378F" w:rsidRPr="007E378F" w:rsidRDefault="007E378F" w:rsidP="007E378F">
      <w:pPr>
        <w:rPr>
          <w:rFonts w:ascii="Times New Roman" w:hAnsi="Times New Roman" w:cs="Times New Roman"/>
          <w:b/>
          <w:sz w:val="24"/>
          <w:szCs w:val="24"/>
        </w:rPr>
      </w:pPr>
      <w:proofErr w:type="spellStart"/>
      <w:r w:rsidRPr="007E378F">
        <w:rPr>
          <w:rFonts w:ascii="Times New Roman" w:hAnsi="Times New Roman" w:cs="Times New Roman"/>
          <w:b/>
          <w:sz w:val="24"/>
          <w:szCs w:val="24"/>
        </w:rPr>
        <w:t>SEBI</w:t>
      </w:r>
      <w:proofErr w:type="spellEnd"/>
      <w:r w:rsidRPr="007E378F">
        <w:rPr>
          <w:rFonts w:ascii="Times New Roman" w:hAnsi="Times New Roman" w:cs="Times New Roman"/>
          <w:b/>
          <w:sz w:val="24"/>
          <w:szCs w:val="24"/>
        </w:rPr>
        <w:t xml:space="preserve"> (Issue of Capital and Disclosure Requirements) (Amendment) Regulations, 2020</w:t>
      </w:r>
    </w:p>
    <w:p w:rsidR="00D67E76" w:rsidRDefault="007E378F" w:rsidP="007E378F">
      <w:pPr>
        <w:rPr>
          <w:rFonts w:ascii="Times New Roman" w:hAnsi="Times New Roman" w:cs="Times New Roman"/>
          <w:sz w:val="24"/>
          <w:szCs w:val="24"/>
        </w:rPr>
      </w:pPr>
      <w:r w:rsidRPr="007E378F">
        <w:rPr>
          <w:rFonts w:ascii="Times New Roman" w:hAnsi="Times New Roman" w:cs="Times New Roman"/>
          <w:sz w:val="24"/>
          <w:szCs w:val="24"/>
        </w:rPr>
        <w:t xml:space="preserve">On 16 June 2020, </w:t>
      </w:r>
      <w:proofErr w:type="spellStart"/>
      <w:r w:rsidRPr="007E378F">
        <w:rPr>
          <w:rFonts w:ascii="Times New Roman" w:hAnsi="Times New Roman" w:cs="Times New Roman"/>
          <w:sz w:val="24"/>
          <w:szCs w:val="24"/>
        </w:rPr>
        <w:t>SEBI</w:t>
      </w:r>
      <w:proofErr w:type="spellEnd"/>
      <w:r w:rsidRPr="007E378F">
        <w:rPr>
          <w:rFonts w:ascii="Times New Roman" w:hAnsi="Times New Roman" w:cs="Times New Roman"/>
          <w:sz w:val="24"/>
          <w:szCs w:val="24"/>
        </w:rPr>
        <w:t xml:space="preserve"> issued the </w:t>
      </w:r>
      <w:proofErr w:type="spellStart"/>
      <w:r w:rsidRPr="007E378F">
        <w:rPr>
          <w:rFonts w:ascii="Times New Roman" w:hAnsi="Times New Roman" w:cs="Times New Roman"/>
          <w:sz w:val="24"/>
          <w:szCs w:val="24"/>
        </w:rPr>
        <w:t>SEBI</w:t>
      </w:r>
      <w:proofErr w:type="spellEnd"/>
      <w:r w:rsidRPr="007E378F">
        <w:rPr>
          <w:rFonts w:ascii="Times New Roman" w:hAnsi="Times New Roman" w:cs="Times New Roman"/>
          <w:sz w:val="24"/>
          <w:szCs w:val="24"/>
        </w:rPr>
        <w:t xml:space="preserve"> (Issue of Capital and Disclosure Requirements) (Amendment) Regulations, 2020 which came into force from 16 June 2020. </w:t>
      </w:r>
      <w:proofErr w:type="gramStart"/>
      <w:r w:rsidRPr="007E378F">
        <w:rPr>
          <w:rFonts w:ascii="Times New Roman" w:hAnsi="Times New Roman" w:cs="Times New Roman"/>
          <w:sz w:val="24"/>
          <w:szCs w:val="24"/>
        </w:rPr>
        <w:t>The amendment has been made to sub-clause (3) in Regulation 172 (Eligibility conditions for qualified institutions placement (</w:t>
      </w:r>
      <w:proofErr w:type="spellStart"/>
      <w:r w:rsidRPr="007E378F">
        <w:rPr>
          <w:rFonts w:ascii="Times New Roman" w:hAnsi="Times New Roman" w:cs="Times New Roman"/>
          <w:sz w:val="24"/>
          <w:szCs w:val="24"/>
        </w:rPr>
        <w:t>QIP</w:t>
      </w:r>
      <w:proofErr w:type="spellEnd"/>
      <w:r w:rsidRPr="007E378F">
        <w:rPr>
          <w:rFonts w:ascii="Times New Roman" w:hAnsi="Times New Roman" w:cs="Times New Roman"/>
          <w:sz w:val="24"/>
          <w:szCs w:val="24"/>
        </w:rPr>
        <w:t xml:space="preserve">)) wherein the issuer shall not make any subsequent </w:t>
      </w:r>
      <w:proofErr w:type="spellStart"/>
      <w:r w:rsidRPr="007E378F">
        <w:rPr>
          <w:rFonts w:ascii="Times New Roman" w:hAnsi="Times New Roman" w:cs="Times New Roman"/>
          <w:sz w:val="24"/>
          <w:szCs w:val="24"/>
        </w:rPr>
        <w:t>QIP</w:t>
      </w:r>
      <w:proofErr w:type="spellEnd"/>
      <w:r w:rsidRPr="007E378F">
        <w:rPr>
          <w:rFonts w:ascii="Times New Roman" w:hAnsi="Times New Roman" w:cs="Times New Roman"/>
          <w:sz w:val="24"/>
          <w:szCs w:val="24"/>
        </w:rPr>
        <w:t xml:space="preserve"> until the expiry of two weeks (prior to the amendment, this time period was until the expiry of six months) from  the  date  of  the  prior  </w:t>
      </w:r>
      <w:proofErr w:type="spellStart"/>
      <w:r w:rsidRPr="007E378F">
        <w:rPr>
          <w:rFonts w:ascii="Times New Roman" w:hAnsi="Times New Roman" w:cs="Times New Roman"/>
          <w:sz w:val="24"/>
          <w:szCs w:val="24"/>
        </w:rPr>
        <w:t>QIP</w:t>
      </w:r>
      <w:proofErr w:type="spellEnd"/>
      <w:r w:rsidRPr="007E378F">
        <w:rPr>
          <w:rFonts w:ascii="Times New Roman" w:hAnsi="Times New Roman" w:cs="Times New Roman"/>
          <w:sz w:val="24"/>
          <w:szCs w:val="24"/>
        </w:rPr>
        <w:t xml:space="preserve"> made  pursuant  to  one  or  more special resolutions.</w:t>
      </w:r>
      <w:proofErr w:type="gramEnd"/>
    </w:p>
    <w:p w:rsidR="008042D2" w:rsidRDefault="008042D2" w:rsidP="007E378F">
      <w:pPr>
        <w:rPr>
          <w:rFonts w:ascii="Times New Roman" w:hAnsi="Times New Roman" w:cs="Times New Roman"/>
          <w:sz w:val="24"/>
          <w:szCs w:val="24"/>
        </w:rPr>
      </w:pPr>
      <w:r>
        <w:rPr>
          <w:rFonts w:ascii="Times New Roman" w:hAnsi="Times New Roman" w:cs="Times New Roman"/>
          <w:sz w:val="24"/>
          <w:szCs w:val="24"/>
        </w:rPr>
        <w:t xml:space="preserve">For more details, please refer </w:t>
      </w:r>
      <w:proofErr w:type="spellStart"/>
      <w:r>
        <w:rPr>
          <w:rFonts w:ascii="Times New Roman" w:hAnsi="Times New Roman" w:cs="Times New Roman"/>
          <w:sz w:val="24"/>
          <w:szCs w:val="24"/>
        </w:rPr>
        <w:t>SEBI</w:t>
      </w:r>
      <w:proofErr w:type="spellEnd"/>
      <w:r>
        <w:rPr>
          <w:rFonts w:ascii="Times New Roman" w:hAnsi="Times New Roman" w:cs="Times New Roman"/>
          <w:sz w:val="24"/>
          <w:szCs w:val="24"/>
        </w:rPr>
        <w:t xml:space="preserve"> website: </w:t>
      </w:r>
      <w:hyperlink r:id="rId15" w:history="1">
        <w:r>
          <w:rPr>
            <w:rStyle w:val="Hyperlink"/>
          </w:rPr>
          <w:t>https://www.sebi.gov.in/</w:t>
        </w:r>
      </w:hyperlink>
    </w:p>
    <w:p w:rsidR="00D67E76" w:rsidRDefault="00D67E76" w:rsidP="00F17DA4"/>
    <w:p w:rsidR="002C5A29" w:rsidRDefault="002C5A29" w:rsidP="00F17DA4">
      <w:pPr>
        <w:rPr>
          <w:rFonts w:ascii="Times New Roman" w:hAnsi="Times New Roman" w:cs="Times New Roman"/>
          <w:b/>
          <w:sz w:val="24"/>
          <w:szCs w:val="24"/>
        </w:rPr>
      </w:pPr>
    </w:p>
    <w:p w:rsidR="00D67E76" w:rsidRDefault="00D67E76" w:rsidP="00F17DA4">
      <w:pPr>
        <w:rPr>
          <w:rFonts w:ascii="Times New Roman" w:hAnsi="Times New Roman" w:cs="Times New Roman"/>
          <w:b/>
          <w:sz w:val="24"/>
          <w:szCs w:val="24"/>
        </w:rPr>
      </w:pPr>
      <w:r w:rsidRPr="00D67E76">
        <w:rPr>
          <w:rFonts w:ascii="Times New Roman" w:hAnsi="Times New Roman" w:cs="Times New Roman"/>
          <w:b/>
          <w:sz w:val="24"/>
          <w:szCs w:val="24"/>
        </w:rPr>
        <w:lastRenderedPageBreak/>
        <w:t>Lesson 6</w:t>
      </w:r>
    </w:p>
    <w:p w:rsidR="00D67E76" w:rsidRDefault="00D67E76" w:rsidP="00F17DA4">
      <w:pPr>
        <w:rPr>
          <w:rFonts w:ascii="Times New Roman" w:hAnsi="Times New Roman" w:cs="Times New Roman"/>
          <w:b/>
          <w:sz w:val="24"/>
          <w:szCs w:val="24"/>
        </w:rPr>
      </w:pPr>
      <w:r w:rsidRPr="00D67E76">
        <w:rPr>
          <w:rFonts w:ascii="Times New Roman" w:hAnsi="Times New Roman" w:cs="Times New Roman"/>
          <w:b/>
          <w:sz w:val="24"/>
          <w:szCs w:val="24"/>
        </w:rPr>
        <w:t>Capital Market Investment Institutions</w:t>
      </w:r>
    </w:p>
    <w:p w:rsidR="00010D49" w:rsidRPr="00B74080" w:rsidRDefault="00010D49" w:rsidP="00010D49">
      <w:pPr>
        <w:rPr>
          <w:rFonts w:ascii="Times New Roman" w:hAnsi="Times New Roman" w:cs="Times New Roman"/>
          <w:b/>
          <w:sz w:val="24"/>
          <w:szCs w:val="24"/>
        </w:rPr>
      </w:pPr>
      <w:r w:rsidRPr="00B74080">
        <w:rPr>
          <w:rFonts w:ascii="Times New Roman" w:hAnsi="Times New Roman" w:cs="Times New Roman"/>
          <w:b/>
          <w:sz w:val="24"/>
          <w:szCs w:val="24"/>
        </w:rPr>
        <w:t xml:space="preserve">Capital Market Investment Institutions </w:t>
      </w:r>
    </w:p>
    <w:p w:rsidR="00010D49" w:rsidRPr="00B74080" w:rsidRDefault="00010D49" w:rsidP="00010D49">
      <w:pPr>
        <w:shd w:val="clear" w:color="auto" w:fill="FFFFFF"/>
        <w:spacing w:before="0" w:after="100" w:afterAutospacing="1" w:line="240" w:lineRule="auto"/>
        <w:rPr>
          <w:rFonts w:ascii="Times New Roman" w:eastAsia="Times New Roman" w:hAnsi="Times New Roman" w:cs="Times New Roman"/>
          <w:sz w:val="24"/>
          <w:szCs w:val="24"/>
          <w:lang w:eastAsia="en-IN"/>
        </w:rPr>
      </w:pPr>
      <w:r w:rsidRPr="0019691B">
        <w:rPr>
          <w:rFonts w:ascii="Times New Roman" w:eastAsia="Times New Roman" w:hAnsi="Times New Roman" w:cs="Times New Roman"/>
          <w:sz w:val="24"/>
          <w:szCs w:val="24"/>
          <w:lang w:eastAsia="en-IN"/>
        </w:rPr>
        <w:t>The Union Cabinet, chaired by the Prime Minister has approved the proposal of Securities &amp; Exchange Board of India (</w:t>
      </w:r>
      <w:proofErr w:type="spellStart"/>
      <w:r w:rsidRPr="0019691B">
        <w:rPr>
          <w:rFonts w:ascii="Times New Roman" w:eastAsia="Times New Roman" w:hAnsi="Times New Roman" w:cs="Times New Roman"/>
          <w:sz w:val="24"/>
          <w:szCs w:val="24"/>
          <w:lang w:eastAsia="en-IN"/>
        </w:rPr>
        <w:t>SEBI</w:t>
      </w:r>
      <w:proofErr w:type="spellEnd"/>
      <w:r w:rsidRPr="0019691B">
        <w:rPr>
          <w:rFonts w:ascii="Times New Roman" w:eastAsia="Times New Roman" w:hAnsi="Times New Roman" w:cs="Times New Roman"/>
          <w:sz w:val="24"/>
          <w:szCs w:val="24"/>
          <w:lang w:eastAsia="en-IN"/>
        </w:rPr>
        <w:t>) to sign an updated Alternative Investment Fund Managers Directive (</w:t>
      </w:r>
      <w:proofErr w:type="spellStart"/>
      <w:r w:rsidRPr="0019691B">
        <w:rPr>
          <w:rFonts w:ascii="Times New Roman" w:eastAsia="Times New Roman" w:hAnsi="Times New Roman" w:cs="Times New Roman"/>
          <w:sz w:val="24"/>
          <w:szCs w:val="24"/>
          <w:lang w:eastAsia="en-IN"/>
        </w:rPr>
        <w:t>AIFMD</w:t>
      </w:r>
      <w:proofErr w:type="spellEnd"/>
      <w:r w:rsidRPr="0019691B">
        <w:rPr>
          <w:rFonts w:ascii="Times New Roman" w:eastAsia="Times New Roman" w:hAnsi="Times New Roman" w:cs="Times New Roman"/>
          <w:sz w:val="24"/>
          <w:szCs w:val="24"/>
          <w:lang w:eastAsia="en-IN"/>
        </w:rPr>
        <w:t xml:space="preserve">) </w:t>
      </w:r>
      <w:proofErr w:type="spellStart"/>
      <w:r w:rsidRPr="0019691B">
        <w:rPr>
          <w:rFonts w:ascii="Times New Roman" w:eastAsia="Times New Roman" w:hAnsi="Times New Roman" w:cs="Times New Roman"/>
          <w:sz w:val="24"/>
          <w:szCs w:val="24"/>
          <w:lang w:eastAsia="en-IN"/>
        </w:rPr>
        <w:t>MoU</w:t>
      </w:r>
      <w:proofErr w:type="spellEnd"/>
      <w:r w:rsidRPr="0019691B">
        <w:rPr>
          <w:rFonts w:ascii="Times New Roman" w:eastAsia="Times New Roman" w:hAnsi="Times New Roman" w:cs="Times New Roman"/>
          <w:sz w:val="24"/>
          <w:szCs w:val="24"/>
          <w:lang w:eastAsia="en-IN"/>
        </w:rPr>
        <w:t xml:space="preserve"> signed between </w:t>
      </w:r>
      <w:proofErr w:type="spellStart"/>
      <w:r w:rsidRPr="0019691B">
        <w:rPr>
          <w:rFonts w:ascii="Times New Roman" w:eastAsia="Times New Roman" w:hAnsi="Times New Roman" w:cs="Times New Roman"/>
          <w:sz w:val="24"/>
          <w:szCs w:val="24"/>
          <w:lang w:eastAsia="en-IN"/>
        </w:rPr>
        <w:t>SEBI</w:t>
      </w:r>
      <w:proofErr w:type="spellEnd"/>
      <w:r w:rsidRPr="0019691B">
        <w:rPr>
          <w:rFonts w:ascii="Times New Roman" w:eastAsia="Times New Roman" w:hAnsi="Times New Roman" w:cs="Times New Roman"/>
          <w:sz w:val="24"/>
          <w:szCs w:val="24"/>
          <w:lang w:eastAsia="en-IN"/>
        </w:rPr>
        <w:t xml:space="preserve"> and Financial Conduct Authority (</w:t>
      </w:r>
      <w:proofErr w:type="spellStart"/>
      <w:r w:rsidRPr="0019691B">
        <w:rPr>
          <w:rFonts w:ascii="Times New Roman" w:eastAsia="Times New Roman" w:hAnsi="Times New Roman" w:cs="Times New Roman"/>
          <w:sz w:val="24"/>
          <w:szCs w:val="24"/>
          <w:lang w:eastAsia="en-IN"/>
        </w:rPr>
        <w:t>FCA</w:t>
      </w:r>
      <w:proofErr w:type="spellEnd"/>
      <w:r w:rsidRPr="0019691B">
        <w:rPr>
          <w:rFonts w:ascii="Times New Roman" w:eastAsia="Times New Roman" w:hAnsi="Times New Roman" w:cs="Times New Roman"/>
          <w:sz w:val="24"/>
          <w:szCs w:val="24"/>
          <w:lang w:eastAsia="en-IN"/>
        </w:rPr>
        <w:t>), UK, pursuant to UK's exit from the European Union on 31st January 2020.</w:t>
      </w:r>
    </w:p>
    <w:p w:rsidR="00010D49" w:rsidRPr="00B74080" w:rsidRDefault="00010D49" w:rsidP="00010D49">
      <w:pPr>
        <w:shd w:val="clear" w:color="auto" w:fill="FFFFFF"/>
        <w:spacing w:before="0" w:after="100" w:afterAutospacing="1" w:line="240" w:lineRule="auto"/>
        <w:rPr>
          <w:rFonts w:ascii="Times New Roman" w:eastAsia="Times New Roman" w:hAnsi="Times New Roman" w:cs="Times New Roman"/>
          <w:b/>
          <w:sz w:val="24"/>
          <w:szCs w:val="24"/>
          <w:lang w:eastAsia="en-IN"/>
        </w:rPr>
      </w:pPr>
      <w:r w:rsidRPr="00B74080">
        <w:rPr>
          <w:rFonts w:ascii="Times New Roman" w:eastAsia="Times New Roman" w:hAnsi="Times New Roman" w:cs="Times New Roman"/>
          <w:b/>
          <w:sz w:val="24"/>
          <w:szCs w:val="24"/>
          <w:lang w:eastAsia="en-IN"/>
        </w:rPr>
        <w:t>Major Impact: impact</w:t>
      </w:r>
    </w:p>
    <w:p w:rsidR="00010D49" w:rsidRPr="0019691B" w:rsidRDefault="00010D49" w:rsidP="00010D49">
      <w:pPr>
        <w:shd w:val="clear" w:color="auto" w:fill="FFFFFF"/>
        <w:spacing w:before="0" w:after="100" w:afterAutospacing="1" w:line="240" w:lineRule="auto"/>
        <w:rPr>
          <w:rFonts w:ascii="Times New Roman" w:eastAsia="Times New Roman" w:hAnsi="Times New Roman" w:cs="Times New Roman"/>
          <w:sz w:val="24"/>
          <w:szCs w:val="24"/>
          <w:lang w:eastAsia="en-IN"/>
        </w:rPr>
      </w:pPr>
      <w:r w:rsidRPr="00B74080">
        <w:rPr>
          <w:rFonts w:ascii="Times New Roman" w:eastAsia="Times New Roman" w:hAnsi="Times New Roman" w:cs="Times New Roman"/>
          <w:sz w:val="24"/>
          <w:szCs w:val="24"/>
          <w:lang w:eastAsia="en-IN"/>
        </w:rPr>
        <w:t xml:space="preserve">The UK exited the EU on 31st January 2020. </w:t>
      </w:r>
      <w:proofErr w:type="spellStart"/>
      <w:r w:rsidRPr="00B74080">
        <w:rPr>
          <w:rFonts w:ascii="Times New Roman" w:eastAsia="Times New Roman" w:hAnsi="Times New Roman" w:cs="Times New Roman"/>
          <w:sz w:val="24"/>
          <w:szCs w:val="24"/>
          <w:lang w:eastAsia="en-IN"/>
        </w:rPr>
        <w:t>FCA</w:t>
      </w:r>
      <w:proofErr w:type="spellEnd"/>
      <w:r w:rsidRPr="00B74080">
        <w:rPr>
          <w:rFonts w:ascii="Times New Roman" w:eastAsia="Times New Roman" w:hAnsi="Times New Roman" w:cs="Times New Roman"/>
          <w:sz w:val="24"/>
          <w:szCs w:val="24"/>
          <w:lang w:eastAsia="en-IN"/>
        </w:rPr>
        <w:t xml:space="preserve">, UK had submitted to </w:t>
      </w:r>
      <w:proofErr w:type="spellStart"/>
      <w:r w:rsidRPr="00B74080">
        <w:rPr>
          <w:rFonts w:ascii="Times New Roman" w:eastAsia="Times New Roman" w:hAnsi="Times New Roman" w:cs="Times New Roman"/>
          <w:sz w:val="24"/>
          <w:szCs w:val="24"/>
          <w:lang w:eastAsia="en-IN"/>
        </w:rPr>
        <w:t>SEBI</w:t>
      </w:r>
      <w:proofErr w:type="spellEnd"/>
      <w:r w:rsidRPr="00B74080">
        <w:rPr>
          <w:rFonts w:ascii="Times New Roman" w:eastAsia="Times New Roman" w:hAnsi="Times New Roman" w:cs="Times New Roman"/>
          <w:sz w:val="24"/>
          <w:szCs w:val="24"/>
          <w:lang w:eastAsia="en-IN"/>
        </w:rPr>
        <w:t xml:space="preserve"> that no transitional measures would be available if the amended </w:t>
      </w:r>
      <w:proofErr w:type="spellStart"/>
      <w:r w:rsidRPr="00B74080">
        <w:rPr>
          <w:rFonts w:ascii="Times New Roman" w:eastAsia="Times New Roman" w:hAnsi="Times New Roman" w:cs="Times New Roman"/>
          <w:sz w:val="24"/>
          <w:szCs w:val="24"/>
          <w:lang w:eastAsia="en-IN"/>
        </w:rPr>
        <w:t>MoU</w:t>
      </w:r>
      <w:proofErr w:type="spellEnd"/>
      <w:r w:rsidRPr="00B74080">
        <w:rPr>
          <w:rFonts w:ascii="Times New Roman" w:eastAsia="Times New Roman" w:hAnsi="Times New Roman" w:cs="Times New Roman"/>
          <w:sz w:val="24"/>
          <w:szCs w:val="24"/>
          <w:lang w:eastAsia="en-IN"/>
        </w:rPr>
        <w:t xml:space="preserve"> </w:t>
      </w:r>
      <w:proofErr w:type="gramStart"/>
      <w:r w:rsidRPr="00B74080">
        <w:rPr>
          <w:rFonts w:ascii="Times New Roman" w:eastAsia="Times New Roman" w:hAnsi="Times New Roman" w:cs="Times New Roman"/>
          <w:sz w:val="24"/>
          <w:szCs w:val="24"/>
          <w:lang w:eastAsia="en-IN"/>
        </w:rPr>
        <w:t>is not signed</w:t>
      </w:r>
      <w:proofErr w:type="gramEnd"/>
      <w:r w:rsidRPr="00B74080">
        <w:rPr>
          <w:rFonts w:ascii="Times New Roman" w:eastAsia="Times New Roman" w:hAnsi="Times New Roman" w:cs="Times New Roman"/>
          <w:sz w:val="24"/>
          <w:szCs w:val="24"/>
          <w:lang w:eastAsia="en-IN"/>
        </w:rPr>
        <w:t xml:space="preserve"> before the date when the UK exits the European Union (</w:t>
      </w:r>
      <w:proofErr w:type="spellStart"/>
      <w:r w:rsidRPr="00B74080">
        <w:rPr>
          <w:rFonts w:ascii="Times New Roman" w:eastAsia="Times New Roman" w:hAnsi="Times New Roman" w:cs="Times New Roman"/>
          <w:sz w:val="24"/>
          <w:szCs w:val="24"/>
          <w:lang w:eastAsia="en-IN"/>
        </w:rPr>
        <w:t>Brexit</w:t>
      </w:r>
      <w:proofErr w:type="spellEnd"/>
      <w:r w:rsidRPr="00B74080">
        <w:rPr>
          <w:rFonts w:ascii="Times New Roman" w:eastAsia="Times New Roman" w:hAnsi="Times New Roman" w:cs="Times New Roman"/>
          <w:sz w:val="24"/>
          <w:szCs w:val="24"/>
          <w:lang w:eastAsia="en-IN"/>
        </w:rPr>
        <w:t xml:space="preserve">), and requested </w:t>
      </w:r>
      <w:proofErr w:type="spellStart"/>
      <w:r w:rsidRPr="00B74080">
        <w:rPr>
          <w:rFonts w:ascii="Times New Roman" w:eastAsia="Times New Roman" w:hAnsi="Times New Roman" w:cs="Times New Roman"/>
          <w:sz w:val="24"/>
          <w:szCs w:val="24"/>
          <w:lang w:eastAsia="en-IN"/>
        </w:rPr>
        <w:t>SEBI</w:t>
      </w:r>
      <w:proofErr w:type="spellEnd"/>
      <w:r w:rsidRPr="00B74080">
        <w:rPr>
          <w:rFonts w:ascii="Times New Roman" w:eastAsia="Times New Roman" w:hAnsi="Times New Roman" w:cs="Times New Roman"/>
          <w:sz w:val="24"/>
          <w:szCs w:val="24"/>
          <w:lang w:eastAsia="en-IN"/>
        </w:rPr>
        <w:t xml:space="preserve"> to sign an updated </w:t>
      </w:r>
      <w:proofErr w:type="spellStart"/>
      <w:r w:rsidRPr="00B74080">
        <w:rPr>
          <w:rFonts w:ascii="Times New Roman" w:eastAsia="Times New Roman" w:hAnsi="Times New Roman" w:cs="Times New Roman"/>
          <w:sz w:val="24"/>
          <w:szCs w:val="24"/>
          <w:lang w:eastAsia="en-IN"/>
        </w:rPr>
        <w:t>MoU</w:t>
      </w:r>
      <w:proofErr w:type="spellEnd"/>
      <w:r w:rsidRPr="00B74080">
        <w:rPr>
          <w:rFonts w:ascii="Times New Roman" w:eastAsia="Times New Roman" w:hAnsi="Times New Roman" w:cs="Times New Roman"/>
          <w:sz w:val="24"/>
          <w:szCs w:val="24"/>
          <w:lang w:eastAsia="en-IN"/>
        </w:rPr>
        <w:t xml:space="preserve"> as early as possible. As such, the proposal is not expected or intended to have any effect on employment in India.</w:t>
      </w:r>
    </w:p>
    <w:p w:rsidR="00010D49" w:rsidRPr="0019691B" w:rsidRDefault="00010D49" w:rsidP="00010D49">
      <w:pPr>
        <w:shd w:val="clear" w:color="auto" w:fill="FFFFFF"/>
        <w:spacing w:before="0" w:after="100" w:afterAutospacing="1" w:line="240" w:lineRule="auto"/>
        <w:outlineLvl w:val="1"/>
        <w:rPr>
          <w:rFonts w:ascii="Times New Roman" w:eastAsia="Times New Roman" w:hAnsi="Times New Roman" w:cs="Times New Roman"/>
          <w:sz w:val="24"/>
          <w:szCs w:val="24"/>
          <w:lang w:eastAsia="en-IN"/>
        </w:rPr>
      </w:pPr>
      <w:r w:rsidRPr="00B74080">
        <w:rPr>
          <w:rFonts w:ascii="Times New Roman" w:eastAsia="Times New Roman" w:hAnsi="Times New Roman" w:cs="Times New Roman"/>
          <w:bCs/>
          <w:sz w:val="24"/>
          <w:szCs w:val="24"/>
          <w:lang w:eastAsia="en-IN"/>
        </w:rPr>
        <w:t>What is the Alternative Investment Fund Managers Directive?</w:t>
      </w:r>
    </w:p>
    <w:p w:rsidR="00010D49" w:rsidRPr="0019691B" w:rsidRDefault="00010D49" w:rsidP="00010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19691B">
        <w:rPr>
          <w:rFonts w:ascii="Times New Roman" w:eastAsia="Times New Roman" w:hAnsi="Times New Roman" w:cs="Times New Roman"/>
          <w:sz w:val="24"/>
          <w:szCs w:val="24"/>
          <w:lang w:eastAsia="en-IN"/>
        </w:rPr>
        <w:t>The Alternative Investment Fund Managers Directive (</w:t>
      </w:r>
      <w:proofErr w:type="spellStart"/>
      <w:r w:rsidRPr="0019691B">
        <w:rPr>
          <w:rFonts w:ascii="Times New Roman" w:eastAsia="Times New Roman" w:hAnsi="Times New Roman" w:cs="Times New Roman"/>
          <w:sz w:val="24"/>
          <w:szCs w:val="24"/>
          <w:lang w:eastAsia="en-IN"/>
        </w:rPr>
        <w:t>AIFMD</w:t>
      </w:r>
      <w:proofErr w:type="spellEnd"/>
      <w:r w:rsidRPr="0019691B">
        <w:rPr>
          <w:rFonts w:ascii="Times New Roman" w:eastAsia="Times New Roman" w:hAnsi="Times New Roman" w:cs="Times New Roman"/>
          <w:sz w:val="24"/>
          <w:szCs w:val="24"/>
          <w:lang w:eastAsia="en-IN"/>
        </w:rPr>
        <w:t>) is a European Union (EU) regulation that </w:t>
      </w:r>
      <w:r w:rsidRPr="00B74080">
        <w:rPr>
          <w:rFonts w:ascii="Times New Roman" w:eastAsia="Times New Roman" w:hAnsi="Times New Roman" w:cs="Times New Roman"/>
          <w:bCs/>
          <w:sz w:val="24"/>
          <w:szCs w:val="24"/>
          <w:lang w:eastAsia="en-IN"/>
        </w:rPr>
        <w:t>applies to hedge funds, private equity funds, and real estate funds. </w:t>
      </w:r>
    </w:p>
    <w:p w:rsidR="00010D49" w:rsidRPr="0019691B" w:rsidRDefault="00010D49" w:rsidP="00010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19691B">
        <w:rPr>
          <w:rFonts w:ascii="Times New Roman" w:eastAsia="Times New Roman" w:hAnsi="Times New Roman" w:cs="Times New Roman"/>
          <w:sz w:val="24"/>
          <w:szCs w:val="24"/>
          <w:lang w:eastAsia="en-IN"/>
        </w:rPr>
        <w:t xml:space="preserve">The </w:t>
      </w:r>
      <w:proofErr w:type="spellStart"/>
      <w:r w:rsidRPr="0019691B">
        <w:rPr>
          <w:rFonts w:ascii="Times New Roman" w:eastAsia="Times New Roman" w:hAnsi="Times New Roman" w:cs="Times New Roman"/>
          <w:sz w:val="24"/>
          <w:szCs w:val="24"/>
          <w:lang w:eastAsia="en-IN"/>
        </w:rPr>
        <w:t>AIFMD</w:t>
      </w:r>
      <w:proofErr w:type="spellEnd"/>
      <w:r w:rsidRPr="0019691B">
        <w:rPr>
          <w:rFonts w:ascii="Times New Roman" w:eastAsia="Times New Roman" w:hAnsi="Times New Roman" w:cs="Times New Roman"/>
          <w:sz w:val="24"/>
          <w:szCs w:val="24"/>
          <w:lang w:eastAsia="en-IN"/>
        </w:rPr>
        <w:t xml:space="preserve"> sets standards for marketing around raising private capital, remuneration policies, risk monitoring, and reporting, and overall accountability. </w:t>
      </w:r>
    </w:p>
    <w:p w:rsidR="00010D49" w:rsidRPr="0019691B" w:rsidRDefault="00010D49" w:rsidP="00010D4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19691B">
        <w:rPr>
          <w:rFonts w:ascii="Times New Roman" w:eastAsia="Times New Roman" w:hAnsi="Times New Roman" w:cs="Times New Roman"/>
          <w:sz w:val="24"/>
          <w:szCs w:val="24"/>
          <w:lang w:eastAsia="en-IN"/>
        </w:rPr>
        <w:t xml:space="preserve">The </w:t>
      </w:r>
      <w:proofErr w:type="spellStart"/>
      <w:r w:rsidRPr="0019691B">
        <w:rPr>
          <w:rFonts w:ascii="Times New Roman" w:eastAsia="Times New Roman" w:hAnsi="Times New Roman" w:cs="Times New Roman"/>
          <w:sz w:val="24"/>
          <w:szCs w:val="24"/>
          <w:lang w:eastAsia="en-IN"/>
        </w:rPr>
        <w:t>AIFMD</w:t>
      </w:r>
      <w:proofErr w:type="spellEnd"/>
      <w:r w:rsidRPr="0019691B">
        <w:rPr>
          <w:rFonts w:ascii="Times New Roman" w:eastAsia="Times New Roman" w:hAnsi="Times New Roman" w:cs="Times New Roman"/>
          <w:sz w:val="24"/>
          <w:szCs w:val="24"/>
          <w:lang w:eastAsia="en-IN"/>
        </w:rPr>
        <w:t xml:space="preserve"> is part of an increased push for </w:t>
      </w:r>
      <w:r w:rsidRPr="00B74080">
        <w:rPr>
          <w:rFonts w:ascii="Times New Roman" w:eastAsia="Times New Roman" w:hAnsi="Times New Roman" w:cs="Times New Roman"/>
          <w:bCs/>
          <w:sz w:val="24"/>
          <w:szCs w:val="24"/>
          <w:lang w:eastAsia="en-IN"/>
        </w:rPr>
        <w:t>investor protections </w:t>
      </w:r>
      <w:r w:rsidRPr="0019691B">
        <w:rPr>
          <w:rFonts w:ascii="Times New Roman" w:eastAsia="Times New Roman" w:hAnsi="Times New Roman" w:cs="Times New Roman"/>
          <w:sz w:val="24"/>
          <w:szCs w:val="24"/>
          <w:lang w:eastAsia="en-IN"/>
        </w:rPr>
        <w:t xml:space="preserve">that the EU undertook just prior to the 2007-08 financial </w:t>
      </w:r>
      <w:proofErr w:type="gramStart"/>
      <w:r w:rsidRPr="0019691B">
        <w:rPr>
          <w:rFonts w:ascii="Times New Roman" w:eastAsia="Times New Roman" w:hAnsi="Times New Roman" w:cs="Times New Roman"/>
          <w:sz w:val="24"/>
          <w:szCs w:val="24"/>
          <w:lang w:eastAsia="en-IN"/>
        </w:rPr>
        <w:t>crisis</w:t>
      </w:r>
      <w:proofErr w:type="gramEnd"/>
      <w:r w:rsidRPr="0019691B">
        <w:rPr>
          <w:rFonts w:ascii="Times New Roman" w:eastAsia="Times New Roman" w:hAnsi="Times New Roman" w:cs="Times New Roman"/>
          <w:sz w:val="24"/>
          <w:szCs w:val="24"/>
          <w:lang w:eastAsia="en-IN"/>
        </w:rPr>
        <w:t>.</w:t>
      </w:r>
    </w:p>
    <w:p w:rsidR="00010D49" w:rsidRPr="0019691B" w:rsidRDefault="00010D49" w:rsidP="00010D49">
      <w:pPr>
        <w:shd w:val="clear" w:color="auto" w:fill="FFFFFF"/>
        <w:spacing w:before="0" w:after="100" w:afterAutospacing="1" w:line="240" w:lineRule="auto"/>
        <w:rPr>
          <w:rFonts w:ascii="Times New Roman" w:eastAsia="Times New Roman" w:hAnsi="Times New Roman" w:cs="Times New Roman"/>
          <w:sz w:val="24"/>
          <w:szCs w:val="24"/>
          <w:lang w:eastAsia="en-IN"/>
        </w:rPr>
      </w:pPr>
      <w:r w:rsidRPr="00B74080">
        <w:rPr>
          <w:rFonts w:ascii="Times New Roman" w:eastAsia="Times New Roman" w:hAnsi="Times New Roman" w:cs="Times New Roman"/>
          <w:b/>
          <w:bCs/>
          <w:sz w:val="24"/>
          <w:szCs w:val="24"/>
          <w:lang w:eastAsia="en-IN"/>
        </w:rPr>
        <w:t>International collaboration</w:t>
      </w:r>
      <w:r w:rsidRPr="00B74080">
        <w:rPr>
          <w:rFonts w:ascii="Times New Roman" w:eastAsia="Times New Roman" w:hAnsi="Times New Roman" w:cs="Times New Roman"/>
          <w:bCs/>
          <w:sz w:val="24"/>
          <w:szCs w:val="24"/>
          <w:lang w:eastAsia="en-IN"/>
        </w:rPr>
        <w:t xml:space="preserve">: </w:t>
      </w:r>
      <w:proofErr w:type="spellStart"/>
      <w:r w:rsidRPr="00B74080">
        <w:rPr>
          <w:rFonts w:ascii="Times New Roman" w:eastAsia="Times New Roman" w:hAnsi="Times New Roman" w:cs="Times New Roman"/>
          <w:bCs/>
          <w:sz w:val="24"/>
          <w:szCs w:val="24"/>
          <w:lang w:eastAsia="en-IN"/>
        </w:rPr>
        <w:t>SEBI</w:t>
      </w:r>
      <w:proofErr w:type="spellEnd"/>
      <w:r w:rsidRPr="00B74080">
        <w:rPr>
          <w:rFonts w:ascii="Times New Roman" w:eastAsia="Times New Roman" w:hAnsi="Times New Roman" w:cs="Times New Roman"/>
          <w:bCs/>
          <w:sz w:val="24"/>
          <w:szCs w:val="24"/>
          <w:lang w:eastAsia="en-IN"/>
        </w:rPr>
        <w:t xml:space="preserve"> is also a signatory to the </w:t>
      </w:r>
      <w:proofErr w:type="spellStart"/>
      <w:r w:rsidRPr="0019691B">
        <w:rPr>
          <w:rFonts w:ascii="Times New Roman" w:eastAsia="Times New Roman" w:hAnsi="Times New Roman" w:cs="Times New Roman"/>
          <w:sz w:val="24"/>
          <w:szCs w:val="24"/>
          <w:lang w:eastAsia="en-IN"/>
        </w:rPr>
        <w:t>IOSCO</w:t>
      </w:r>
      <w:proofErr w:type="spellEnd"/>
      <w:r w:rsidRPr="0019691B">
        <w:rPr>
          <w:rFonts w:ascii="Times New Roman" w:eastAsia="Times New Roman" w:hAnsi="Times New Roman" w:cs="Times New Roman"/>
          <w:sz w:val="24"/>
          <w:szCs w:val="24"/>
          <w:lang w:eastAsia="en-IN"/>
        </w:rPr>
        <w:t xml:space="preserve"> Multilateral Memorandum of Understanding Concerning Consultation and Cooperation and the Exchange of Information. </w:t>
      </w:r>
      <w:proofErr w:type="gramStart"/>
      <w:r w:rsidRPr="0019691B">
        <w:rPr>
          <w:rFonts w:ascii="Times New Roman" w:eastAsia="Times New Roman" w:hAnsi="Times New Roman" w:cs="Times New Roman"/>
          <w:sz w:val="24"/>
          <w:szCs w:val="24"/>
          <w:lang w:eastAsia="en-IN"/>
        </w:rPr>
        <w:t>(</w:t>
      </w:r>
      <w:proofErr w:type="spellStart"/>
      <w:r w:rsidRPr="0019691B">
        <w:rPr>
          <w:rFonts w:ascii="Times New Roman" w:eastAsia="Times New Roman" w:hAnsi="Times New Roman" w:cs="Times New Roman"/>
          <w:sz w:val="24"/>
          <w:szCs w:val="24"/>
          <w:lang w:eastAsia="en-IN"/>
        </w:rPr>
        <w:t>MMoU</w:t>
      </w:r>
      <w:proofErr w:type="spellEnd"/>
      <w:r w:rsidRPr="0019691B">
        <w:rPr>
          <w:rFonts w:ascii="Times New Roman" w:eastAsia="Times New Roman" w:hAnsi="Times New Roman" w:cs="Times New Roman"/>
          <w:sz w:val="24"/>
          <w:szCs w:val="24"/>
          <w:lang w:eastAsia="en-IN"/>
        </w:rPr>
        <w:t>).</w:t>
      </w:r>
      <w:proofErr w:type="gramEnd"/>
    </w:p>
    <w:p w:rsidR="00010D49" w:rsidRPr="0019691B" w:rsidRDefault="00010D49" w:rsidP="00010D4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B74080">
        <w:rPr>
          <w:rFonts w:ascii="Times New Roman" w:eastAsia="Times New Roman" w:hAnsi="Times New Roman" w:cs="Times New Roman"/>
          <w:bCs/>
          <w:sz w:val="24"/>
          <w:szCs w:val="24"/>
          <w:lang w:eastAsia="en-IN"/>
        </w:rPr>
        <w:t>The International Organization of Securities Commissions (</w:t>
      </w:r>
      <w:proofErr w:type="spellStart"/>
      <w:r w:rsidRPr="00B74080">
        <w:rPr>
          <w:rFonts w:ascii="Times New Roman" w:eastAsia="Times New Roman" w:hAnsi="Times New Roman" w:cs="Times New Roman"/>
          <w:bCs/>
          <w:sz w:val="24"/>
          <w:szCs w:val="24"/>
          <w:lang w:eastAsia="en-IN"/>
        </w:rPr>
        <w:t>IOSCO</w:t>
      </w:r>
      <w:proofErr w:type="spellEnd"/>
      <w:r w:rsidRPr="00B74080">
        <w:rPr>
          <w:rFonts w:ascii="Times New Roman" w:eastAsia="Times New Roman" w:hAnsi="Times New Roman" w:cs="Times New Roman"/>
          <w:bCs/>
          <w:sz w:val="24"/>
          <w:szCs w:val="24"/>
          <w:lang w:eastAsia="en-IN"/>
        </w:rPr>
        <w:t>)</w:t>
      </w:r>
      <w:r w:rsidRPr="0019691B">
        <w:rPr>
          <w:rFonts w:ascii="Times New Roman" w:eastAsia="Times New Roman" w:hAnsi="Times New Roman" w:cs="Times New Roman"/>
          <w:sz w:val="24"/>
          <w:szCs w:val="24"/>
          <w:lang w:eastAsia="en-IN"/>
        </w:rPr>
        <w:t> is the worldwide association of national securities regulatory commissions, such as the Securities and Exchange Commission in the United States, the Financial Services Authority in the United Kingdom, and about 100 other similar bodies.</w:t>
      </w:r>
    </w:p>
    <w:p w:rsidR="00010D49" w:rsidRPr="0019691B" w:rsidRDefault="00010D49" w:rsidP="00010D49">
      <w:pPr>
        <w:shd w:val="clear" w:color="auto" w:fill="FFFFFF"/>
        <w:spacing w:before="0" w:after="100" w:afterAutospacing="1" w:line="240" w:lineRule="auto"/>
        <w:rPr>
          <w:rFonts w:ascii="Times New Roman" w:eastAsia="Times New Roman" w:hAnsi="Times New Roman" w:cs="Times New Roman"/>
          <w:sz w:val="24"/>
          <w:szCs w:val="24"/>
          <w:lang w:eastAsia="en-IN"/>
        </w:rPr>
      </w:pPr>
      <w:r w:rsidRPr="00B74080">
        <w:rPr>
          <w:rFonts w:ascii="Times New Roman" w:eastAsia="Times New Roman" w:hAnsi="Times New Roman" w:cs="Times New Roman"/>
          <w:bCs/>
          <w:sz w:val="24"/>
          <w:szCs w:val="24"/>
          <w:lang w:eastAsia="en-IN"/>
        </w:rPr>
        <w:t>Significance</w:t>
      </w:r>
      <w:r w:rsidRPr="0019691B">
        <w:rPr>
          <w:rFonts w:ascii="Times New Roman" w:eastAsia="Times New Roman" w:hAnsi="Times New Roman" w:cs="Times New Roman"/>
          <w:sz w:val="24"/>
          <w:szCs w:val="24"/>
          <w:lang w:eastAsia="en-IN"/>
        </w:rPr>
        <w:t>: the existence of such cooperation agreements between EU and non- EU authorities is a precondition for </w:t>
      </w:r>
      <w:r w:rsidRPr="00B74080">
        <w:rPr>
          <w:rFonts w:ascii="Times New Roman" w:eastAsia="Times New Roman" w:hAnsi="Times New Roman" w:cs="Times New Roman"/>
          <w:bCs/>
          <w:sz w:val="24"/>
          <w:szCs w:val="24"/>
          <w:lang w:eastAsia="en-IN"/>
        </w:rPr>
        <w:t xml:space="preserve">allowing greater market access and cross border functioning of the </w:t>
      </w:r>
      <w:proofErr w:type="spellStart"/>
      <w:r w:rsidRPr="00B74080">
        <w:rPr>
          <w:rFonts w:ascii="Times New Roman" w:eastAsia="Times New Roman" w:hAnsi="Times New Roman" w:cs="Times New Roman"/>
          <w:bCs/>
          <w:sz w:val="24"/>
          <w:szCs w:val="24"/>
          <w:lang w:eastAsia="en-IN"/>
        </w:rPr>
        <w:t>AIF</w:t>
      </w:r>
      <w:proofErr w:type="spellEnd"/>
      <w:r w:rsidRPr="00B74080">
        <w:rPr>
          <w:rFonts w:ascii="Times New Roman" w:eastAsia="Times New Roman" w:hAnsi="Times New Roman" w:cs="Times New Roman"/>
          <w:bCs/>
          <w:sz w:val="24"/>
          <w:szCs w:val="24"/>
          <w:lang w:eastAsia="en-IN"/>
        </w:rPr>
        <w:t xml:space="preserve"> business. </w:t>
      </w:r>
    </w:p>
    <w:p w:rsidR="00010D49" w:rsidRPr="0019691B" w:rsidRDefault="00010D49" w:rsidP="00010D4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19691B">
        <w:rPr>
          <w:rFonts w:ascii="Times New Roman" w:eastAsia="Times New Roman" w:hAnsi="Times New Roman" w:cs="Times New Roman"/>
          <w:sz w:val="24"/>
          <w:szCs w:val="24"/>
          <w:lang w:eastAsia="en-IN"/>
        </w:rPr>
        <w:t xml:space="preserve">These </w:t>
      </w:r>
      <w:proofErr w:type="spellStart"/>
      <w:r w:rsidRPr="0019691B">
        <w:rPr>
          <w:rFonts w:ascii="Times New Roman" w:eastAsia="Times New Roman" w:hAnsi="Times New Roman" w:cs="Times New Roman"/>
          <w:sz w:val="24"/>
          <w:szCs w:val="24"/>
          <w:lang w:eastAsia="en-IN"/>
        </w:rPr>
        <w:t>MoUs</w:t>
      </w:r>
      <w:proofErr w:type="spellEnd"/>
      <w:r w:rsidRPr="0019691B">
        <w:rPr>
          <w:rFonts w:ascii="Times New Roman" w:eastAsia="Times New Roman" w:hAnsi="Times New Roman" w:cs="Times New Roman"/>
          <w:sz w:val="24"/>
          <w:szCs w:val="24"/>
          <w:lang w:eastAsia="en-IN"/>
        </w:rPr>
        <w:t xml:space="preserve"> would thus </w:t>
      </w:r>
      <w:r w:rsidRPr="00B74080">
        <w:rPr>
          <w:rFonts w:ascii="Times New Roman" w:eastAsia="Times New Roman" w:hAnsi="Times New Roman" w:cs="Times New Roman"/>
          <w:bCs/>
          <w:sz w:val="24"/>
          <w:szCs w:val="24"/>
          <w:lang w:eastAsia="en-IN"/>
        </w:rPr>
        <w:t xml:space="preserve">enable Indian fund managers to manage or market </w:t>
      </w:r>
      <w:proofErr w:type="spellStart"/>
      <w:r w:rsidRPr="00B74080">
        <w:rPr>
          <w:rFonts w:ascii="Times New Roman" w:eastAsia="Times New Roman" w:hAnsi="Times New Roman" w:cs="Times New Roman"/>
          <w:bCs/>
          <w:sz w:val="24"/>
          <w:szCs w:val="24"/>
          <w:lang w:eastAsia="en-IN"/>
        </w:rPr>
        <w:t>AIFs</w:t>
      </w:r>
      <w:proofErr w:type="spellEnd"/>
      <w:r w:rsidRPr="00B74080">
        <w:rPr>
          <w:rFonts w:ascii="Times New Roman" w:eastAsia="Times New Roman" w:hAnsi="Times New Roman" w:cs="Times New Roman"/>
          <w:bCs/>
          <w:sz w:val="24"/>
          <w:szCs w:val="24"/>
          <w:lang w:eastAsia="en-IN"/>
        </w:rPr>
        <w:t xml:space="preserve"> in the EU region </w:t>
      </w:r>
      <w:r w:rsidRPr="0019691B">
        <w:rPr>
          <w:rFonts w:ascii="Times New Roman" w:eastAsia="Times New Roman" w:hAnsi="Times New Roman" w:cs="Times New Roman"/>
          <w:sz w:val="24"/>
          <w:szCs w:val="24"/>
          <w:lang w:eastAsia="en-IN"/>
        </w:rPr>
        <w:t xml:space="preserve">and the EU fund managers to manage or market </w:t>
      </w:r>
      <w:proofErr w:type="spellStart"/>
      <w:r w:rsidRPr="0019691B">
        <w:rPr>
          <w:rFonts w:ascii="Times New Roman" w:eastAsia="Times New Roman" w:hAnsi="Times New Roman" w:cs="Times New Roman"/>
          <w:sz w:val="24"/>
          <w:szCs w:val="24"/>
          <w:lang w:eastAsia="en-IN"/>
        </w:rPr>
        <w:t>AIFs</w:t>
      </w:r>
      <w:proofErr w:type="spellEnd"/>
      <w:r w:rsidRPr="0019691B">
        <w:rPr>
          <w:rFonts w:ascii="Times New Roman" w:eastAsia="Times New Roman" w:hAnsi="Times New Roman" w:cs="Times New Roman"/>
          <w:sz w:val="24"/>
          <w:szCs w:val="24"/>
          <w:lang w:eastAsia="en-IN"/>
        </w:rPr>
        <w:t xml:space="preserve"> in India. </w:t>
      </w:r>
    </w:p>
    <w:p w:rsidR="00010D49" w:rsidRPr="00B74080" w:rsidRDefault="00010D49" w:rsidP="00010D49">
      <w:pPr>
        <w:rPr>
          <w:rFonts w:ascii="Times New Roman" w:hAnsi="Times New Roman" w:cs="Times New Roman"/>
          <w:b/>
          <w:sz w:val="24"/>
          <w:szCs w:val="24"/>
        </w:rPr>
      </w:pPr>
    </w:p>
    <w:p w:rsidR="00010D49" w:rsidRDefault="00010D49" w:rsidP="00F17DA4">
      <w:pPr>
        <w:rPr>
          <w:rFonts w:ascii="Times New Roman" w:hAnsi="Times New Roman" w:cs="Times New Roman"/>
          <w:b/>
          <w:sz w:val="24"/>
          <w:szCs w:val="24"/>
        </w:rPr>
      </w:pPr>
    </w:p>
    <w:p w:rsidR="002C5A29" w:rsidRDefault="002C5A29" w:rsidP="00F17DA4">
      <w:pPr>
        <w:rPr>
          <w:rFonts w:ascii="Times New Roman" w:hAnsi="Times New Roman" w:cs="Times New Roman"/>
          <w:b/>
          <w:sz w:val="24"/>
          <w:szCs w:val="24"/>
        </w:rPr>
      </w:pPr>
    </w:p>
    <w:p w:rsidR="002C5A29" w:rsidRDefault="002C5A29" w:rsidP="00F17DA4">
      <w:pPr>
        <w:rPr>
          <w:rFonts w:ascii="Times New Roman" w:hAnsi="Times New Roman" w:cs="Times New Roman"/>
          <w:b/>
          <w:sz w:val="24"/>
          <w:szCs w:val="24"/>
        </w:rPr>
      </w:pPr>
    </w:p>
    <w:p w:rsidR="00D67E76" w:rsidRPr="00D67E76" w:rsidRDefault="00D67E76" w:rsidP="00F17DA4">
      <w:pPr>
        <w:rPr>
          <w:rFonts w:ascii="Times New Roman" w:hAnsi="Times New Roman" w:cs="Times New Roman"/>
          <w:b/>
          <w:sz w:val="24"/>
          <w:szCs w:val="24"/>
        </w:rPr>
      </w:pPr>
      <w:r w:rsidRPr="00D67E76">
        <w:rPr>
          <w:rFonts w:ascii="Times New Roman" w:hAnsi="Times New Roman" w:cs="Times New Roman"/>
          <w:b/>
          <w:sz w:val="24"/>
          <w:szCs w:val="24"/>
        </w:rPr>
        <w:lastRenderedPageBreak/>
        <w:t>Investment by the sponsor or asset management company in the scheme</w:t>
      </w:r>
    </w:p>
    <w:p w:rsidR="00D67E76" w:rsidRPr="00D67E76" w:rsidRDefault="00D67E76" w:rsidP="00F17DA4">
      <w:pPr>
        <w:rPr>
          <w:rFonts w:ascii="Times New Roman" w:hAnsi="Times New Roman" w:cs="Times New Roman"/>
          <w:sz w:val="24"/>
          <w:szCs w:val="24"/>
        </w:rPr>
      </w:pPr>
      <w:r w:rsidRPr="00D67E76">
        <w:rPr>
          <w:rFonts w:ascii="Times New Roman" w:hAnsi="Times New Roman" w:cs="Times New Roman"/>
          <w:sz w:val="24"/>
          <w:szCs w:val="24"/>
        </w:rPr>
        <w:t xml:space="preserve">In terms of the </w:t>
      </w:r>
      <w:proofErr w:type="spellStart"/>
      <w:r w:rsidRPr="00D67E76">
        <w:rPr>
          <w:rFonts w:ascii="Times New Roman" w:hAnsi="Times New Roman" w:cs="Times New Roman"/>
          <w:sz w:val="24"/>
          <w:szCs w:val="24"/>
        </w:rPr>
        <w:t>SEBI</w:t>
      </w:r>
      <w:proofErr w:type="spellEnd"/>
      <w:r w:rsidRPr="00D67E76">
        <w:rPr>
          <w:rFonts w:ascii="Times New Roman" w:hAnsi="Times New Roman" w:cs="Times New Roman"/>
          <w:sz w:val="24"/>
          <w:szCs w:val="24"/>
        </w:rPr>
        <w:t xml:space="preserve"> (Mutual Funds) (Amendment) Regulations, 2020, the  sponsor  or  asset  management  company is  required to  invest  not  less  than  1% of the amount which would be raised in the new fund offer or fifty </w:t>
      </w:r>
      <w:proofErr w:type="spellStart"/>
      <w:r w:rsidRPr="00D67E76">
        <w:rPr>
          <w:rFonts w:ascii="Times New Roman" w:hAnsi="Times New Roman" w:cs="Times New Roman"/>
          <w:sz w:val="24"/>
          <w:szCs w:val="24"/>
        </w:rPr>
        <w:t>lakh</w:t>
      </w:r>
      <w:proofErr w:type="spellEnd"/>
      <w:r w:rsidRPr="00D67E76">
        <w:rPr>
          <w:rFonts w:ascii="Times New Roman" w:hAnsi="Times New Roman" w:cs="Times New Roman"/>
          <w:sz w:val="24"/>
          <w:szCs w:val="24"/>
        </w:rPr>
        <w:t xml:space="preserve"> rupees, whichever is less in such option of the scheme, as</w:t>
      </w:r>
      <w:r>
        <w:rPr>
          <w:rFonts w:ascii="Times New Roman" w:hAnsi="Times New Roman" w:cs="Times New Roman"/>
          <w:sz w:val="24"/>
          <w:szCs w:val="24"/>
        </w:rPr>
        <w:t xml:space="preserve"> may be specified by the Board.</w:t>
      </w:r>
    </w:p>
    <w:p w:rsidR="00D67E76" w:rsidRDefault="00D67E76" w:rsidP="00F17DA4">
      <w:pPr>
        <w:rPr>
          <w:rFonts w:ascii="Times New Roman" w:hAnsi="Times New Roman" w:cs="Times New Roman"/>
          <w:sz w:val="24"/>
          <w:szCs w:val="24"/>
        </w:rPr>
      </w:pPr>
      <w:r w:rsidRPr="00D67E76">
        <w:rPr>
          <w:rFonts w:ascii="Times New Roman" w:hAnsi="Times New Roman" w:cs="Times New Roman"/>
          <w:sz w:val="24"/>
          <w:szCs w:val="24"/>
        </w:rPr>
        <w:t xml:space="preserve">In this regard, on 12 June 2020, </w:t>
      </w:r>
      <w:proofErr w:type="spellStart"/>
      <w:r w:rsidRPr="00D67E76">
        <w:rPr>
          <w:rFonts w:ascii="Times New Roman" w:hAnsi="Times New Roman" w:cs="Times New Roman"/>
          <w:sz w:val="24"/>
          <w:szCs w:val="24"/>
        </w:rPr>
        <w:t>SEBI</w:t>
      </w:r>
      <w:proofErr w:type="spellEnd"/>
      <w:r w:rsidRPr="00D67E76">
        <w:rPr>
          <w:rFonts w:ascii="Times New Roman" w:hAnsi="Times New Roman" w:cs="Times New Roman"/>
          <w:sz w:val="24"/>
          <w:szCs w:val="24"/>
        </w:rPr>
        <w:t xml:space="preserve"> decided that the </w:t>
      </w:r>
      <w:proofErr w:type="gramStart"/>
      <w:r w:rsidRPr="00D67E76">
        <w:rPr>
          <w:rFonts w:ascii="Times New Roman" w:hAnsi="Times New Roman" w:cs="Times New Roman"/>
          <w:sz w:val="24"/>
          <w:szCs w:val="24"/>
        </w:rPr>
        <w:t>above referred</w:t>
      </w:r>
      <w:proofErr w:type="gramEnd"/>
      <w:r w:rsidRPr="00D67E76">
        <w:rPr>
          <w:rFonts w:ascii="Times New Roman" w:hAnsi="Times New Roman" w:cs="Times New Roman"/>
          <w:sz w:val="24"/>
          <w:szCs w:val="24"/>
        </w:rPr>
        <w:t xml:space="preserve"> investment shall be made in growth option of the scheme. For such schemes where growth option is not available the  investment  shall  be  made  in  the  dividend  reinvestment  option  of  the  scheme.  Further, for such schemes where growth option as well as dividend reinvestment options, are not available the investment </w:t>
      </w:r>
      <w:proofErr w:type="gramStart"/>
      <w:r w:rsidRPr="00D67E76">
        <w:rPr>
          <w:rFonts w:ascii="Times New Roman" w:hAnsi="Times New Roman" w:cs="Times New Roman"/>
          <w:sz w:val="24"/>
          <w:szCs w:val="24"/>
        </w:rPr>
        <w:t>shall be made</w:t>
      </w:r>
      <w:proofErr w:type="gramEnd"/>
      <w:r w:rsidRPr="00D67E76">
        <w:rPr>
          <w:rFonts w:ascii="Times New Roman" w:hAnsi="Times New Roman" w:cs="Times New Roman"/>
          <w:sz w:val="24"/>
          <w:szCs w:val="24"/>
        </w:rPr>
        <w:t xml:space="preserve"> in the dividend option of the scheme. This Circular shall come into force with immediate effect.</w:t>
      </w:r>
    </w:p>
    <w:p w:rsidR="00481E08" w:rsidRDefault="00481E08" w:rsidP="00F17DA4">
      <w:r>
        <w:rPr>
          <w:rFonts w:ascii="Times New Roman" w:hAnsi="Times New Roman" w:cs="Times New Roman"/>
          <w:sz w:val="24"/>
          <w:szCs w:val="24"/>
        </w:rPr>
        <w:t xml:space="preserve">For more details, you may kind access: </w:t>
      </w:r>
      <w:hyperlink r:id="rId16" w:history="1">
        <w:r>
          <w:rPr>
            <w:rStyle w:val="Hyperlink"/>
          </w:rPr>
          <w:t>https://www.sebi.gov.in/legal/regulations/mar-2020/sebi-mutual-funds-amendment-regulations-2020_46259.html</w:t>
        </w:r>
      </w:hyperlink>
    </w:p>
    <w:p w:rsidR="009F4A13" w:rsidRPr="009F4A13" w:rsidRDefault="00666159" w:rsidP="00F17DA4">
      <w:pPr>
        <w:pStyle w:val="Heading3"/>
        <w:shd w:val="clear" w:color="auto" w:fill="FFFFFF"/>
        <w:spacing w:before="0"/>
        <w:rPr>
          <w:rFonts w:ascii="Times New Roman" w:hAnsi="Times New Roman" w:cs="Times New Roman"/>
          <w:bCs w:val="0"/>
          <w:color w:val="auto"/>
          <w:sz w:val="24"/>
          <w:szCs w:val="24"/>
        </w:rPr>
      </w:pPr>
      <w:r w:rsidRPr="009F4A13">
        <w:rPr>
          <w:rFonts w:ascii="Times New Roman" w:hAnsi="Times New Roman" w:cs="Times New Roman"/>
          <w:bCs w:val="0"/>
          <w:color w:val="auto"/>
          <w:sz w:val="24"/>
          <w:szCs w:val="24"/>
        </w:rPr>
        <w:t>Clarifications on Disclosure Standards for Alternative Investment Funds (</w:t>
      </w:r>
      <w:proofErr w:type="spellStart"/>
      <w:r w:rsidRPr="009F4A13">
        <w:rPr>
          <w:rFonts w:ascii="Times New Roman" w:hAnsi="Times New Roman" w:cs="Times New Roman"/>
          <w:bCs w:val="0"/>
          <w:color w:val="auto"/>
          <w:sz w:val="24"/>
          <w:szCs w:val="24"/>
        </w:rPr>
        <w:t>AIFs</w:t>
      </w:r>
      <w:proofErr w:type="spellEnd"/>
      <w:r w:rsidRPr="009F4A13">
        <w:rPr>
          <w:rFonts w:ascii="Times New Roman" w:hAnsi="Times New Roman" w:cs="Times New Roman"/>
          <w:bCs w:val="0"/>
          <w:color w:val="auto"/>
          <w:sz w:val="24"/>
          <w:szCs w:val="24"/>
        </w:rPr>
        <w:t>)</w:t>
      </w:r>
    </w:p>
    <w:p w:rsidR="00666159" w:rsidRPr="009F4A13" w:rsidRDefault="00666159" w:rsidP="00F17DA4">
      <w:pPr>
        <w:pStyle w:val="NormalWeb"/>
        <w:shd w:val="clear" w:color="auto" w:fill="FFFFFF"/>
        <w:spacing w:before="0" w:beforeAutospacing="0"/>
        <w:jc w:val="both"/>
      </w:pPr>
      <w:r w:rsidRPr="009F4A13">
        <w:t xml:space="preserve">On 12 June 2020, </w:t>
      </w:r>
      <w:proofErr w:type="spellStart"/>
      <w:r w:rsidRPr="009F4A13">
        <w:t>SEBI</w:t>
      </w:r>
      <w:proofErr w:type="spellEnd"/>
      <w:r w:rsidRPr="009F4A13">
        <w:t xml:space="preserve"> issued the following clarifications / amendments on the disclosure standards for </w:t>
      </w:r>
      <w:proofErr w:type="spellStart"/>
      <w:r w:rsidRPr="009F4A13">
        <w:t>AIFs</w:t>
      </w:r>
      <w:proofErr w:type="spellEnd"/>
      <w:r w:rsidRPr="009F4A13">
        <w:t>:</w:t>
      </w:r>
    </w:p>
    <w:p w:rsidR="00666159" w:rsidRDefault="00666159" w:rsidP="00F17DA4">
      <w:pPr>
        <w:numPr>
          <w:ilvl w:val="0"/>
          <w:numId w:val="13"/>
        </w:numPr>
        <w:shd w:val="clear" w:color="auto" w:fill="FFFFFF"/>
        <w:spacing w:before="100" w:beforeAutospacing="1" w:after="100" w:afterAutospacing="1" w:line="231" w:lineRule="atLeast"/>
        <w:rPr>
          <w:rFonts w:ascii="Times New Roman" w:hAnsi="Times New Roman" w:cs="Times New Roman"/>
          <w:sz w:val="24"/>
          <w:szCs w:val="24"/>
        </w:rPr>
      </w:pPr>
      <w:proofErr w:type="gramStart"/>
      <w:r w:rsidRPr="009F4A13">
        <w:rPr>
          <w:rFonts w:ascii="Times New Roman" w:hAnsi="Times New Roman" w:cs="Times New Roman"/>
          <w:sz w:val="24"/>
          <w:szCs w:val="24"/>
        </w:rPr>
        <w:t xml:space="preserve">Audit of compliance with terms of the private placement memorandum (PPM) shall be conducted at  the  end  of each  Financial  Year and  the findings  of   audit   along   with   corrective   steps,   if   any, shall be communicated  to  the  Trustee  or  Board  or  Designated  Partners  of  the </w:t>
      </w:r>
      <w:proofErr w:type="spellStart"/>
      <w:r w:rsidRPr="009F4A13">
        <w:rPr>
          <w:rFonts w:ascii="Times New Roman" w:hAnsi="Times New Roman" w:cs="Times New Roman"/>
          <w:sz w:val="24"/>
          <w:szCs w:val="24"/>
        </w:rPr>
        <w:t>AIF</w:t>
      </w:r>
      <w:proofErr w:type="spellEnd"/>
      <w:r w:rsidRPr="009F4A13">
        <w:rPr>
          <w:rFonts w:ascii="Times New Roman" w:hAnsi="Times New Roman" w:cs="Times New Roman"/>
          <w:sz w:val="24"/>
          <w:szCs w:val="24"/>
        </w:rPr>
        <w:t xml:space="preserve">, Board  of  the  Manager and  </w:t>
      </w:r>
      <w:proofErr w:type="spellStart"/>
      <w:r w:rsidRPr="009F4A13">
        <w:rPr>
          <w:rFonts w:ascii="Times New Roman" w:hAnsi="Times New Roman" w:cs="Times New Roman"/>
          <w:sz w:val="24"/>
          <w:szCs w:val="24"/>
        </w:rPr>
        <w:t>SEBI</w:t>
      </w:r>
      <w:proofErr w:type="spellEnd"/>
      <w:r w:rsidRPr="009F4A13">
        <w:rPr>
          <w:rFonts w:ascii="Times New Roman" w:hAnsi="Times New Roman" w:cs="Times New Roman"/>
          <w:sz w:val="24"/>
          <w:szCs w:val="24"/>
        </w:rPr>
        <w:t>, within  6  months  from  the  end  of the Financial Year.</w:t>
      </w:r>
      <w:proofErr w:type="gramEnd"/>
    </w:p>
    <w:p w:rsidR="009F4A13" w:rsidRPr="009F4A13" w:rsidRDefault="009F4A13" w:rsidP="00F17DA4">
      <w:pPr>
        <w:shd w:val="clear" w:color="auto" w:fill="FFFFFF"/>
        <w:spacing w:before="100" w:beforeAutospacing="1" w:after="100" w:afterAutospacing="1" w:line="231" w:lineRule="atLeast"/>
        <w:ind w:left="720"/>
        <w:rPr>
          <w:rFonts w:ascii="Times New Roman" w:hAnsi="Times New Roman" w:cs="Times New Roman"/>
          <w:sz w:val="24"/>
          <w:szCs w:val="24"/>
        </w:rPr>
      </w:pPr>
    </w:p>
    <w:p w:rsidR="00666159" w:rsidRDefault="00666159" w:rsidP="00F17DA4">
      <w:pPr>
        <w:numPr>
          <w:ilvl w:val="0"/>
          <w:numId w:val="13"/>
        </w:numPr>
        <w:shd w:val="clear" w:color="auto" w:fill="FFFFFF"/>
        <w:spacing w:before="100" w:beforeAutospacing="1" w:after="100" w:afterAutospacing="1" w:line="231" w:lineRule="atLeast"/>
        <w:rPr>
          <w:rFonts w:ascii="Times New Roman" w:hAnsi="Times New Roman" w:cs="Times New Roman"/>
          <w:sz w:val="24"/>
          <w:szCs w:val="24"/>
        </w:rPr>
      </w:pPr>
      <w:r w:rsidRPr="009F4A13">
        <w:rPr>
          <w:rFonts w:ascii="Times New Roman" w:hAnsi="Times New Roman" w:cs="Times New Roman"/>
          <w:sz w:val="24"/>
          <w:szCs w:val="24"/>
        </w:rPr>
        <w:t xml:space="preserve">The requirement  of  audit of compliance  with  terms of  the PPM shall  not apply  to </w:t>
      </w:r>
      <w:proofErr w:type="spellStart"/>
      <w:r w:rsidRPr="009F4A13">
        <w:rPr>
          <w:rFonts w:ascii="Times New Roman" w:hAnsi="Times New Roman" w:cs="Times New Roman"/>
          <w:sz w:val="24"/>
          <w:szCs w:val="24"/>
        </w:rPr>
        <w:t>AIFs</w:t>
      </w:r>
      <w:proofErr w:type="spellEnd"/>
      <w:r w:rsidRPr="009F4A13">
        <w:rPr>
          <w:rFonts w:ascii="Times New Roman" w:hAnsi="Times New Roman" w:cs="Times New Roman"/>
          <w:sz w:val="24"/>
          <w:szCs w:val="24"/>
        </w:rPr>
        <w:t xml:space="preserve"> which have  not  raised  any funds from  their  However,   such   </w:t>
      </w:r>
      <w:proofErr w:type="spellStart"/>
      <w:r w:rsidRPr="009F4A13">
        <w:rPr>
          <w:rFonts w:ascii="Times New Roman" w:hAnsi="Times New Roman" w:cs="Times New Roman"/>
          <w:sz w:val="24"/>
          <w:szCs w:val="24"/>
        </w:rPr>
        <w:t>AIFs</w:t>
      </w:r>
      <w:proofErr w:type="spellEnd"/>
      <w:r w:rsidRPr="009F4A13">
        <w:rPr>
          <w:rFonts w:ascii="Times New Roman" w:hAnsi="Times New Roman" w:cs="Times New Roman"/>
          <w:sz w:val="24"/>
          <w:szCs w:val="24"/>
        </w:rPr>
        <w:t>   shall   submit   a certificate from a Chartered Accountant to the effect that no funds have been raised, within 6 months from the end of the Financial Year.</w:t>
      </w:r>
    </w:p>
    <w:p w:rsidR="009F4A13" w:rsidRPr="009F4A13" w:rsidRDefault="009F4A13" w:rsidP="00F17DA4">
      <w:pPr>
        <w:shd w:val="clear" w:color="auto" w:fill="FFFFFF"/>
        <w:spacing w:before="100" w:beforeAutospacing="1" w:after="100" w:afterAutospacing="1" w:line="231" w:lineRule="atLeast"/>
        <w:ind w:left="720"/>
        <w:rPr>
          <w:rFonts w:ascii="Times New Roman" w:hAnsi="Times New Roman" w:cs="Times New Roman"/>
          <w:sz w:val="24"/>
          <w:szCs w:val="24"/>
        </w:rPr>
      </w:pPr>
    </w:p>
    <w:p w:rsidR="00666159" w:rsidRDefault="00666159" w:rsidP="00F17DA4">
      <w:pPr>
        <w:numPr>
          <w:ilvl w:val="0"/>
          <w:numId w:val="13"/>
        </w:numPr>
        <w:shd w:val="clear" w:color="auto" w:fill="FFFFFF"/>
        <w:spacing w:before="100" w:beforeAutospacing="1" w:after="100" w:afterAutospacing="1" w:line="231" w:lineRule="atLeast"/>
        <w:rPr>
          <w:rFonts w:ascii="Times New Roman" w:hAnsi="Times New Roman" w:cs="Times New Roman"/>
          <w:sz w:val="24"/>
          <w:szCs w:val="24"/>
        </w:rPr>
      </w:pPr>
      <w:r w:rsidRPr="009F4A13">
        <w:rPr>
          <w:rFonts w:ascii="Times New Roman" w:hAnsi="Times New Roman" w:cs="Times New Roman"/>
          <w:sz w:val="24"/>
          <w:szCs w:val="24"/>
        </w:rPr>
        <w:t xml:space="preserve">For the Financial Year 2019-20, the above requirements </w:t>
      </w:r>
      <w:proofErr w:type="gramStart"/>
      <w:r w:rsidRPr="009F4A13">
        <w:rPr>
          <w:rFonts w:ascii="Times New Roman" w:hAnsi="Times New Roman" w:cs="Times New Roman"/>
          <w:sz w:val="24"/>
          <w:szCs w:val="24"/>
        </w:rPr>
        <w:t>shall be fulfilled</w:t>
      </w:r>
      <w:proofErr w:type="gramEnd"/>
      <w:r w:rsidRPr="009F4A13">
        <w:rPr>
          <w:rFonts w:ascii="Times New Roman" w:hAnsi="Times New Roman" w:cs="Times New Roman"/>
          <w:sz w:val="24"/>
          <w:szCs w:val="24"/>
        </w:rPr>
        <w:t xml:space="preserve"> on or before 31 December 2020.</w:t>
      </w:r>
    </w:p>
    <w:p w:rsidR="009F4A13" w:rsidRPr="009F4A13" w:rsidRDefault="009F4A13" w:rsidP="00F17DA4">
      <w:pPr>
        <w:shd w:val="clear" w:color="auto" w:fill="FFFFFF"/>
        <w:spacing w:before="100" w:beforeAutospacing="1" w:after="100" w:afterAutospacing="1" w:line="231" w:lineRule="atLeast"/>
        <w:ind w:left="720"/>
        <w:rPr>
          <w:rFonts w:ascii="Times New Roman" w:hAnsi="Times New Roman" w:cs="Times New Roman"/>
          <w:sz w:val="24"/>
          <w:szCs w:val="24"/>
        </w:rPr>
      </w:pPr>
    </w:p>
    <w:p w:rsidR="00666159" w:rsidRPr="009F4A13" w:rsidRDefault="00666159" w:rsidP="00F17DA4">
      <w:pPr>
        <w:numPr>
          <w:ilvl w:val="0"/>
          <w:numId w:val="13"/>
        </w:numPr>
        <w:shd w:val="clear" w:color="auto" w:fill="FFFFFF"/>
        <w:spacing w:before="100" w:beforeAutospacing="1" w:after="100" w:afterAutospacing="1" w:line="231" w:lineRule="atLeast"/>
        <w:rPr>
          <w:rFonts w:ascii="Times New Roman" w:hAnsi="Times New Roman" w:cs="Times New Roman"/>
          <w:sz w:val="24"/>
          <w:szCs w:val="24"/>
        </w:rPr>
      </w:pPr>
      <w:r w:rsidRPr="009F4A13">
        <w:rPr>
          <w:rFonts w:ascii="Times New Roman" w:hAnsi="Times New Roman" w:cs="Times New Roman"/>
          <w:sz w:val="24"/>
          <w:szCs w:val="24"/>
        </w:rPr>
        <w:t xml:space="preserve">Any association  of  </w:t>
      </w:r>
      <w:proofErr w:type="spellStart"/>
      <w:r w:rsidRPr="009F4A13">
        <w:rPr>
          <w:rFonts w:ascii="Times New Roman" w:hAnsi="Times New Roman" w:cs="Times New Roman"/>
          <w:sz w:val="24"/>
          <w:szCs w:val="24"/>
        </w:rPr>
        <w:t>AIFs</w:t>
      </w:r>
      <w:proofErr w:type="spellEnd"/>
      <w:r w:rsidRPr="009F4A13">
        <w:rPr>
          <w:rFonts w:ascii="Times New Roman" w:hAnsi="Times New Roman" w:cs="Times New Roman"/>
          <w:sz w:val="24"/>
          <w:szCs w:val="24"/>
        </w:rPr>
        <w:t xml:space="preserve">, which in  terms  of  membership, represents at  least  33%  of  the  number  of  </w:t>
      </w:r>
      <w:proofErr w:type="spellStart"/>
      <w:r w:rsidRPr="009F4A13">
        <w:rPr>
          <w:rFonts w:ascii="Times New Roman" w:hAnsi="Times New Roman" w:cs="Times New Roman"/>
          <w:sz w:val="24"/>
          <w:szCs w:val="24"/>
        </w:rPr>
        <w:t>AIFs</w:t>
      </w:r>
      <w:proofErr w:type="spellEnd"/>
      <w:r w:rsidRPr="009F4A13">
        <w:rPr>
          <w:rFonts w:ascii="Times New Roman" w:hAnsi="Times New Roman" w:cs="Times New Roman"/>
          <w:sz w:val="24"/>
          <w:szCs w:val="24"/>
        </w:rPr>
        <w:t xml:space="preserve">,  may  notify  one  or  more Benchmarking  Agencies,  with  whom  each  </w:t>
      </w:r>
      <w:proofErr w:type="spellStart"/>
      <w:r w:rsidRPr="009F4A13">
        <w:rPr>
          <w:rFonts w:ascii="Times New Roman" w:hAnsi="Times New Roman" w:cs="Times New Roman"/>
          <w:sz w:val="24"/>
          <w:szCs w:val="24"/>
        </w:rPr>
        <w:t>AIF</w:t>
      </w:r>
      <w:proofErr w:type="spellEnd"/>
      <w:r w:rsidRPr="009F4A13">
        <w:rPr>
          <w:rFonts w:ascii="Times New Roman" w:hAnsi="Times New Roman" w:cs="Times New Roman"/>
          <w:sz w:val="24"/>
          <w:szCs w:val="24"/>
        </w:rPr>
        <w:t>  shall  enter  into  an  agreement for carrying out the benchmarking process.</w:t>
      </w:r>
    </w:p>
    <w:p w:rsidR="00666159" w:rsidRPr="009F4A13" w:rsidRDefault="00666159" w:rsidP="00F17DA4">
      <w:pPr>
        <w:numPr>
          <w:ilvl w:val="0"/>
          <w:numId w:val="13"/>
        </w:numPr>
        <w:shd w:val="clear" w:color="auto" w:fill="FFFFFF"/>
        <w:spacing w:before="100" w:beforeAutospacing="1" w:after="100" w:afterAutospacing="1" w:line="231" w:lineRule="atLeast"/>
        <w:rPr>
          <w:rFonts w:ascii="Times New Roman" w:hAnsi="Times New Roman" w:cs="Times New Roman"/>
          <w:sz w:val="24"/>
          <w:szCs w:val="24"/>
        </w:rPr>
      </w:pPr>
      <w:r w:rsidRPr="009F4A13">
        <w:rPr>
          <w:rFonts w:ascii="Times New Roman" w:hAnsi="Times New Roman" w:cs="Times New Roman"/>
          <w:sz w:val="24"/>
          <w:szCs w:val="24"/>
        </w:rPr>
        <w:t xml:space="preserve"> In light of  market  events due  to  the </w:t>
      </w:r>
      <w:proofErr w:type="spellStart"/>
      <w:r w:rsidRPr="009F4A13">
        <w:rPr>
          <w:rFonts w:ascii="Times New Roman" w:hAnsi="Times New Roman" w:cs="Times New Roman"/>
          <w:sz w:val="24"/>
          <w:szCs w:val="24"/>
        </w:rPr>
        <w:t>COVID</w:t>
      </w:r>
      <w:proofErr w:type="spellEnd"/>
      <w:r w:rsidRPr="009F4A13">
        <w:rPr>
          <w:rFonts w:ascii="Times New Roman" w:hAnsi="Times New Roman" w:cs="Times New Roman"/>
          <w:sz w:val="24"/>
          <w:szCs w:val="24"/>
        </w:rPr>
        <w:t xml:space="preserve">-19 pandemic,  the  timeline  for making  available  the  first  industry  benchmark  and  </w:t>
      </w:r>
      <w:proofErr w:type="spellStart"/>
      <w:r w:rsidRPr="009F4A13">
        <w:rPr>
          <w:rFonts w:ascii="Times New Roman" w:hAnsi="Times New Roman" w:cs="Times New Roman"/>
          <w:sz w:val="24"/>
          <w:szCs w:val="24"/>
        </w:rPr>
        <w:t>AIF</w:t>
      </w:r>
      <w:proofErr w:type="spellEnd"/>
      <w:r w:rsidRPr="009F4A13">
        <w:rPr>
          <w:rFonts w:ascii="Times New Roman" w:hAnsi="Times New Roman" w:cs="Times New Roman"/>
          <w:sz w:val="24"/>
          <w:szCs w:val="24"/>
        </w:rPr>
        <w:t>  level  performance versus Benchmark Reports, is extended till 1 October 2020.</w:t>
      </w:r>
    </w:p>
    <w:p w:rsidR="00481E08" w:rsidRPr="00223F0A" w:rsidRDefault="00A331C1" w:rsidP="00F17DA4">
      <w:pPr>
        <w:rPr>
          <w:rFonts w:ascii="Times New Roman" w:hAnsi="Times New Roman" w:cs="Times New Roman"/>
          <w:sz w:val="24"/>
          <w:szCs w:val="24"/>
        </w:rPr>
      </w:pPr>
      <w:r w:rsidRPr="00223F0A">
        <w:rPr>
          <w:rFonts w:ascii="Times New Roman" w:hAnsi="Times New Roman" w:cs="Times New Roman"/>
          <w:sz w:val="24"/>
          <w:szCs w:val="24"/>
        </w:rPr>
        <w:lastRenderedPageBreak/>
        <w:t xml:space="preserve">For more details, you may kindly access: </w:t>
      </w:r>
      <w:hyperlink r:id="rId17" w:history="1">
        <w:r w:rsidRPr="00223F0A">
          <w:rPr>
            <w:rStyle w:val="Hyperlink"/>
            <w:rFonts w:ascii="Times New Roman" w:hAnsi="Times New Roman" w:cs="Times New Roman"/>
            <w:sz w:val="24"/>
            <w:szCs w:val="24"/>
          </w:rPr>
          <w:t>https://www.sebi.gov.in/legal/circulars/jun-2020/clarifications-with-respect-to-circular-dated-february-05-2020-on-disclosure-standards-for-alternative-investment-fund</w:t>
        </w:r>
      </w:hyperlink>
    </w:p>
    <w:p w:rsidR="00223F0A" w:rsidRDefault="00223F0A" w:rsidP="00F17DA4">
      <w:pPr>
        <w:pStyle w:val="Heading3"/>
        <w:shd w:val="clear" w:color="auto" w:fill="FFFFFF"/>
        <w:spacing w:before="0"/>
        <w:rPr>
          <w:rFonts w:ascii="Times New Roman" w:hAnsi="Times New Roman" w:cs="Times New Roman"/>
          <w:b w:val="0"/>
          <w:bCs w:val="0"/>
          <w:color w:val="212529"/>
          <w:sz w:val="24"/>
          <w:szCs w:val="24"/>
        </w:rPr>
      </w:pPr>
    </w:p>
    <w:p w:rsidR="00223F0A" w:rsidRPr="002C5A29" w:rsidRDefault="00223F0A" w:rsidP="002C5A29">
      <w:pPr>
        <w:pStyle w:val="Heading3"/>
        <w:shd w:val="clear" w:color="auto" w:fill="FFFFFF"/>
        <w:spacing w:before="0"/>
        <w:rPr>
          <w:rFonts w:ascii="Times New Roman" w:hAnsi="Times New Roman" w:cs="Times New Roman"/>
          <w:bCs w:val="0"/>
          <w:color w:val="auto"/>
          <w:sz w:val="24"/>
          <w:szCs w:val="24"/>
        </w:rPr>
      </w:pPr>
      <w:r w:rsidRPr="00223F0A">
        <w:rPr>
          <w:rFonts w:ascii="Times New Roman" w:hAnsi="Times New Roman" w:cs="Times New Roman"/>
          <w:bCs w:val="0"/>
          <w:color w:val="auto"/>
          <w:sz w:val="24"/>
          <w:szCs w:val="24"/>
        </w:rPr>
        <w:t>Foreign Exchange Management (Mode of Payment and Reporting of Non-Debt Instruments) (Amendment) Regulations, 2020</w:t>
      </w:r>
    </w:p>
    <w:p w:rsidR="00223F0A" w:rsidRPr="00223F0A" w:rsidRDefault="00223F0A" w:rsidP="00F17DA4">
      <w:pPr>
        <w:pStyle w:val="NormalWeb"/>
        <w:shd w:val="clear" w:color="auto" w:fill="FFFFFF"/>
        <w:spacing w:before="0" w:beforeAutospacing="0"/>
        <w:jc w:val="both"/>
      </w:pPr>
      <w:r w:rsidRPr="00223F0A">
        <w:t>On 15 June 2020, the Reserve Bank of India (“</w:t>
      </w:r>
      <w:proofErr w:type="spellStart"/>
      <w:r w:rsidRPr="00223F0A">
        <w:rPr>
          <w:rStyle w:val="Strong"/>
        </w:rPr>
        <w:t>RBI</w:t>
      </w:r>
      <w:proofErr w:type="spellEnd"/>
      <w:r w:rsidRPr="00223F0A">
        <w:t xml:space="preserve">”) issued the Foreign Exchange Management (Mode of Payment and Reporting of Non-Debt Instruments) (Amendment) Regulations, 2020 thereby amending certain provisions of the Foreign Exchange Management (Mode of Payment and Reporting of Non-Debt Instruments) Regulations, 2019. The </w:t>
      </w:r>
      <w:proofErr w:type="gramStart"/>
      <w:r w:rsidRPr="00223F0A">
        <w:t>amendments which come into effect from 15 June 2020</w:t>
      </w:r>
      <w:proofErr w:type="gramEnd"/>
      <w:r w:rsidRPr="00223F0A">
        <w:t xml:space="preserve"> are as follows:</w:t>
      </w:r>
    </w:p>
    <w:p w:rsidR="00223F0A" w:rsidRPr="00223F0A" w:rsidRDefault="00223F0A" w:rsidP="00F17DA4">
      <w:pPr>
        <w:numPr>
          <w:ilvl w:val="0"/>
          <w:numId w:val="14"/>
        </w:numPr>
        <w:shd w:val="clear" w:color="auto" w:fill="FFFFFF"/>
        <w:spacing w:before="100" w:beforeAutospacing="1" w:after="100" w:afterAutospacing="1" w:line="231" w:lineRule="atLeast"/>
        <w:rPr>
          <w:rFonts w:ascii="Times New Roman" w:hAnsi="Times New Roman" w:cs="Times New Roman"/>
          <w:sz w:val="24"/>
          <w:szCs w:val="24"/>
        </w:rPr>
      </w:pPr>
      <w:r w:rsidRPr="00223F0A">
        <w:rPr>
          <w:rFonts w:ascii="Times New Roman" w:hAnsi="Times New Roman" w:cs="Times New Roman"/>
          <w:sz w:val="24"/>
          <w:szCs w:val="24"/>
        </w:rPr>
        <w:t>In Schedule II (Investments by Foreign Portfolio Investors) - The amount of consideration shall be paid as inward remittance from abroad through banking channels or out of funds held in a foreign currency account and/ or a Special Non-Resident Rupee (</w:t>
      </w:r>
      <w:proofErr w:type="spellStart"/>
      <w:r w:rsidRPr="00223F0A">
        <w:rPr>
          <w:rFonts w:ascii="Times New Roman" w:hAnsi="Times New Roman" w:cs="Times New Roman"/>
          <w:sz w:val="24"/>
          <w:szCs w:val="24"/>
        </w:rPr>
        <w:t>SNRR</w:t>
      </w:r>
      <w:proofErr w:type="spellEnd"/>
      <w:r w:rsidRPr="00223F0A">
        <w:rPr>
          <w:rFonts w:ascii="Times New Roman" w:hAnsi="Times New Roman" w:cs="Times New Roman"/>
          <w:sz w:val="24"/>
          <w:szCs w:val="24"/>
        </w:rPr>
        <w:t xml:space="preserve">) account maintained in accordance with the Foreign Exchange Management (Deposit) Regulations, 2016. Further, unless otherwise specified, the foreign currency account and </w:t>
      </w:r>
      <w:proofErr w:type="spellStart"/>
      <w:r w:rsidRPr="00223F0A">
        <w:rPr>
          <w:rFonts w:ascii="Times New Roman" w:hAnsi="Times New Roman" w:cs="Times New Roman"/>
          <w:sz w:val="24"/>
          <w:szCs w:val="24"/>
        </w:rPr>
        <w:t>SNRR</w:t>
      </w:r>
      <w:proofErr w:type="spellEnd"/>
      <w:r w:rsidRPr="00223F0A">
        <w:rPr>
          <w:rFonts w:ascii="Times New Roman" w:hAnsi="Times New Roman" w:cs="Times New Roman"/>
          <w:sz w:val="24"/>
          <w:szCs w:val="24"/>
        </w:rPr>
        <w:t xml:space="preserve"> account shall be used only and exclusively for transactions under this Schedule.</w:t>
      </w:r>
    </w:p>
    <w:p w:rsidR="00223F0A" w:rsidRPr="00223F0A" w:rsidRDefault="00223F0A" w:rsidP="00F17DA4">
      <w:pPr>
        <w:pStyle w:val="NormalWeb"/>
        <w:shd w:val="clear" w:color="auto" w:fill="FFFFFF"/>
        <w:spacing w:before="0" w:beforeAutospacing="0" w:line="231" w:lineRule="atLeast"/>
        <w:ind w:left="720"/>
        <w:jc w:val="both"/>
      </w:pPr>
      <w:r w:rsidRPr="00223F0A">
        <w:t xml:space="preserve">Additionally, the sale proceeds (net of taxes) of equity instruments and units of REITs, </w:t>
      </w:r>
      <w:proofErr w:type="spellStart"/>
      <w:r w:rsidRPr="00223F0A">
        <w:t>InViTs</w:t>
      </w:r>
      <w:proofErr w:type="spellEnd"/>
      <w:r w:rsidRPr="00223F0A">
        <w:t xml:space="preserve"> and domestic mutual fund </w:t>
      </w:r>
      <w:proofErr w:type="gramStart"/>
      <w:r w:rsidRPr="00223F0A">
        <w:t xml:space="preserve">may be remitted outside India or credited to the foreign currency account or a </w:t>
      </w:r>
      <w:proofErr w:type="spellStart"/>
      <w:r w:rsidRPr="00223F0A">
        <w:t>SNRR</w:t>
      </w:r>
      <w:proofErr w:type="spellEnd"/>
      <w:r w:rsidRPr="00223F0A">
        <w:t xml:space="preserve"> account of the </w:t>
      </w:r>
      <w:proofErr w:type="spellStart"/>
      <w:r w:rsidRPr="00223F0A">
        <w:t>FPI</w:t>
      </w:r>
      <w:proofErr w:type="spellEnd"/>
      <w:proofErr w:type="gramEnd"/>
      <w:r w:rsidRPr="00223F0A">
        <w:t>. </w:t>
      </w:r>
    </w:p>
    <w:p w:rsidR="00223F0A" w:rsidRPr="00223F0A" w:rsidRDefault="00223F0A" w:rsidP="00F17DA4">
      <w:pPr>
        <w:numPr>
          <w:ilvl w:val="0"/>
          <w:numId w:val="14"/>
        </w:numPr>
        <w:shd w:val="clear" w:color="auto" w:fill="FFFFFF"/>
        <w:spacing w:before="100" w:beforeAutospacing="1" w:after="100" w:afterAutospacing="1" w:line="231" w:lineRule="atLeast"/>
        <w:rPr>
          <w:rFonts w:ascii="Times New Roman" w:hAnsi="Times New Roman" w:cs="Times New Roman"/>
          <w:sz w:val="24"/>
          <w:szCs w:val="24"/>
        </w:rPr>
      </w:pPr>
      <w:proofErr w:type="gramStart"/>
      <w:r w:rsidRPr="00223F0A">
        <w:rPr>
          <w:rFonts w:ascii="Times New Roman" w:hAnsi="Times New Roman" w:cs="Times New Roman"/>
          <w:sz w:val="24"/>
          <w:szCs w:val="24"/>
        </w:rPr>
        <w:t xml:space="preserve">In Schedule VII (Investment by a Foreign Venture Capital Investor) - Unless otherwise specified, the foreign currency account and </w:t>
      </w:r>
      <w:proofErr w:type="spellStart"/>
      <w:r w:rsidRPr="00223F0A">
        <w:rPr>
          <w:rFonts w:ascii="Times New Roman" w:hAnsi="Times New Roman" w:cs="Times New Roman"/>
          <w:sz w:val="24"/>
          <w:szCs w:val="24"/>
        </w:rPr>
        <w:t>SNRR</w:t>
      </w:r>
      <w:proofErr w:type="spellEnd"/>
      <w:r w:rsidRPr="00223F0A">
        <w:rPr>
          <w:rFonts w:ascii="Times New Roman" w:hAnsi="Times New Roman" w:cs="Times New Roman"/>
          <w:sz w:val="24"/>
          <w:szCs w:val="24"/>
        </w:rPr>
        <w:t xml:space="preserve"> account shall be used only and exclusively for transactions under Schedule VII.</w:t>
      </w:r>
      <w:proofErr w:type="gramEnd"/>
    </w:p>
    <w:p w:rsidR="00223F0A" w:rsidRPr="00223F0A" w:rsidRDefault="00223F0A" w:rsidP="00F17DA4">
      <w:pPr>
        <w:numPr>
          <w:ilvl w:val="0"/>
          <w:numId w:val="14"/>
        </w:numPr>
        <w:shd w:val="clear" w:color="auto" w:fill="FFFFFF"/>
        <w:spacing w:before="100" w:beforeAutospacing="1" w:after="100" w:afterAutospacing="1" w:line="231" w:lineRule="atLeast"/>
        <w:rPr>
          <w:rFonts w:ascii="Times New Roman" w:hAnsi="Times New Roman" w:cs="Times New Roman"/>
          <w:sz w:val="24"/>
          <w:szCs w:val="24"/>
        </w:rPr>
      </w:pPr>
      <w:proofErr w:type="gramStart"/>
      <w:r w:rsidRPr="00223F0A">
        <w:rPr>
          <w:rFonts w:ascii="Times New Roman" w:hAnsi="Times New Roman" w:cs="Times New Roman"/>
          <w:sz w:val="24"/>
          <w:szCs w:val="24"/>
        </w:rPr>
        <w:t xml:space="preserve">In Schedule VIII (Investment by a person resident outside India in an Investment Vehicle) - The amount of consideration shall be paid as inward remittance from abroad through banking channels or by way of swap of shares of a Special Purpose Vehicle or out of funds held in </w:t>
      </w:r>
      <w:proofErr w:type="spellStart"/>
      <w:r w:rsidRPr="00223F0A">
        <w:rPr>
          <w:rFonts w:ascii="Times New Roman" w:hAnsi="Times New Roman" w:cs="Times New Roman"/>
          <w:sz w:val="24"/>
          <w:szCs w:val="24"/>
        </w:rPr>
        <w:t>NRE</w:t>
      </w:r>
      <w:proofErr w:type="spellEnd"/>
      <w:r w:rsidRPr="00223F0A">
        <w:rPr>
          <w:rFonts w:ascii="Times New Roman" w:hAnsi="Times New Roman" w:cs="Times New Roman"/>
          <w:sz w:val="24"/>
          <w:szCs w:val="24"/>
        </w:rPr>
        <w:t xml:space="preserve"> or </w:t>
      </w:r>
      <w:proofErr w:type="spellStart"/>
      <w:r w:rsidRPr="00223F0A">
        <w:rPr>
          <w:rFonts w:ascii="Times New Roman" w:hAnsi="Times New Roman" w:cs="Times New Roman"/>
          <w:sz w:val="24"/>
          <w:szCs w:val="24"/>
        </w:rPr>
        <w:t>FCNR</w:t>
      </w:r>
      <w:proofErr w:type="spellEnd"/>
      <w:r w:rsidRPr="00223F0A">
        <w:rPr>
          <w:rFonts w:ascii="Times New Roman" w:hAnsi="Times New Roman" w:cs="Times New Roman"/>
          <w:sz w:val="24"/>
          <w:szCs w:val="24"/>
        </w:rPr>
        <w:t>(B) account maintained in accordance with the Foreign Exchange Management (Deposit) Regulations, 2016.</w:t>
      </w:r>
      <w:proofErr w:type="gramEnd"/>
      <w:r w:rsidRPr="00223F0A">
        <w:rPr>
          <w:rFonts w:ascii="Times New Roman" w:hAnsi="Times New Roman" w:cs="Times New Roman"/>
          <w:sz w:val="24"/>
          <w:szCs w:val="24"/>
        </w:rPr>
        <w:t xml:space="preserve"> Further, for an </w:t>
      </w:r>
      <w:proofErr w:type="spellStart"/>
      <w:r w:rsidRPr="00223F0A">
        <w:rPr>
          <w:rFonts w:ascii="Times New Roman" w:hAnsi="Times New Roman" w:cs="Times New Roman"/>
          <w:sz w:val="24"/>
          <w:szCs w:val="24"/>
        </w:rPr>
        <w:t>FPI</w:t>
      </w:r>
      <w:proofErr w:type="spellEnd"/>
      <w:r w:rsidRPr="00223F0A">
        <w:rPr>
          <w:rFonts w:ascii="Times New Roman" w:hAnsi="Times New Roman" w:cs="Times New Roman"/>
          <w:sz w:val="24"/>
          <w:szCs w:val="24"/>
        </w:rPr>
        <w:t xml:space="preserve"> or </w:t>
      </w:r>
      <w:proofErr w:type="spellStart"/>
      <w:r w:rsidRPr="00223F0A">
        <w:rPr>
          <w:rFonts w:ascii="Times New Roman" w:hAnsi="Times New Roman" w:cs="Times New Roman"/>
          <w:sz w:val="24"/>
          <w:szCs w:val="24"/>
        </w:rPr>
        <w:t>FVCI</w:t>
      </w:r>
      <w:proofErr w:type="spellEnd"/>
      <w:r w:rsidRPr="00223F0A">
        <w:rPr>
          <w:rFonts w:ascii="Times New Roman" w:hAnsi="Times New Roman" w:cs="Times New Roman"/>
          <w:sz w:val="24"/>
          <w:szCs w:val="24"/>
        </w:rPr>
        <w:t xml:space="preserve">, amount of consideration </w:t>
      </w:r>
      <w:proofErr w:type="gramStart"/>
      <w:r w:rsidRPr="00223F0A">
        <w:rPr>
          <w:rFonts w:ascii="Times New Roman" w:hAnsi="Times New Roman" w:cs="Times New Roman"/>
          <w:sz w:val="24"/>
          <w:szCs w:val="24"/>
        </w:rPr>
        <w:t>may be paid</w:t>
      </w:r>
      <w:proofErr w:type="gramEnd"/>
      <w:r w:rsidRPr="00223F0A">
        <w:rPr>
          <w:rFonts w:ascii="Times New Roman" w:hAnsi="Times New Roman" w:cs="Times New Roman"/>
          <w:sz w:val="24"/>
          <w:szCs w:val="24"/>
        </w:rPr>
        <w:t xml:space="preserve"> out of their </w:t>
      </w:r>
      <w:proofErr w:type="spellStart"/>
      <w:r w:rsidRPr="00223F0A">
        <w:rPr>
          <w:rFonts w:ascii="Times New Roman" w:hAnsi="Times New Roman" w:cs="Times New Roman"/>
          <w:sz w:val="24"/>
          <w:szCs w:val="24"/>
        </w:rPr>
        <w:t>SNRR</w:t>
      </w:r>
      <w:proofErr w:type="spellEnd"/>
      <w:r w:rsidRPr="00223F0A">
        <w:rPr>
          <w:rFonts w:ascii="Times New Roman" w:hAnsi="Times New Roman" w:cs="Times New Roman"/>
          <w:sz w:val="24"/>
          <w:szCs w:val="24"/>
        </w:rPr>
        <w:t xml:space="preserve"> account for trading in units of Investment Vehicle listed or to be listed (primary issuance) on the stock exchanges in India.</w:t>
      </w:r>
    </w:p>
    <w:p w:rsidR="00223F0A" w:rsidRDefault="00223F0A" w:rsidP="00F17DA4">
      <w:pPr>
        <w:pStyle w:val="NormalWeb"/>
        <w:shd w:val="clear" w:color="auto" w:fill="FFFFFF"/>
        <w:spacing w:before="0" w:beforeAutospacing="0"/>
        <w:jc w:val="both"/>
      </w:pPr>
      <w:r w:rsidRPr="00223F0A">
        <w:t xml:space="preserve">Additionally, the sale/ maturity proceeds (net of taxes) of the units may be remitted outside India or may be credited to the </w:t>
      </w:r>
      <w:proofErr w:type="spellStart"/>
      <w:r w:rsidRPr="00223F0A">
        <w:t>NRE</w:t>
      </w:r>
      <w:proofErr w:type="spellEnd"/>
      <w:r w:rsidRPr="00223F0A">
        <w:t xml:space="preserve"> or </w:t>
      </w:r>
      <w:proofErr w:type="spellStart"/>
      <w:proofErr w:type="gramStart"/>
      <w:r w:rsidRPr="00223F0A">
        <w:t>FCNR</w:t>
      </w:r>
      <w:proofErr w:type="spellEnd"/>
      <w:r w:rsidRPr="00223F0A">
        <w:t>(</w:t>
      </w:r>
      <w:proofErr w:type="gramEnd"/>
      <w:r w:rsidRPr="00223F0A">
        <w:t xml:space="preserve">B) or </w:t>
      </w:r>
      <w:proofErr w:type="spellStart"/>
      <w:r w:rsidRPr="00223F0A">
        <w:t>SNRR</w:t>
      </w:r>
      <w:proofErr w:type="spellEnd"/>
      <w:r w:rsidRPr="00223F0A">
        <w:t xml:space="preserve"> account, as applicable of the person concerned.</w:t>
      </w:r>
    </w:p>
    <w:p w:rsidR="00223F0A" w:rsidRPr="00223F0A" w:rsidRDefault="009462A0" w:rsidP="002C5A29">
      <w:pPr>
        <w:pStyle w:val="NormalWeb"/>
        <w:shd w:val="clear" w:color="auto" w:fill="FFFFFF"/>
        <w:spacing w:before="0" w:beforeAutospacing="0"/>
      </w:pPr>
      <w:r>
        <w:t xml:space="preserve">For more details, please </w:t>
      </w:r>
      <w:proofErr w:type="gramStart"/>
      <w:r w:rsidR="007372F1">
        <w:t>refer:</w:t>
      </w:r>
      <w:proofErr w:type="gramEnd"/>
      <w:r w:rsidR="007372F1">
        <w:t xml:space="preserve"> </w:t>
      </w:r>
      <w:hyperlink r:id="rId18" w:history="1">
        <w:r w:rsidR="00F44A6B">
          <w:rPr>
            <w:rStyle w:val="Hyperlink"/>
          </w:rPr>
          <w:t>https://www.rbi.org.in/Scripts/BS_FemaNotifications.aspx?Id=11939</w:t>
        </w:r>
      </w:hyperlink>
    </w:p>
    <w:p w:rsidR="00D67E76" w:rsidRPr="00B1016C" w:rsidRDefault="00D67E76" w:rsidP="00F17DA4">
      <w:pPr>
        <w:rPr>
          <w:rFonts w:ascii="Times New Roman" w:hAnsi="Times New Roman" w:cs="Times New Roman"/>
          <w:sz w:val="24"/>
          <w:szCs w:val="24"/>
        </w:rPr>
      </w:pPr>
    </w:p>
    <w:p w:rsidR="00F87A89" w:rsidRDefault="00F87A89" w:rsidP="00F17DA4">
      <w:pPr>
        <w:rPr>
          <w:rFonts w:ascii="Times New Roman" w:hAnsi="Times New Roman" w:cs="Times New Roman"/>
          <w:b/>
          <w:sz w:val="24"/>
          <w:szCs w:val="24"/>
        </w:rPr>
      </w:pPr>
    </w:p>
    <w:p w:rsidR="002C5A29" w:rsidRDefault="002C5A29" w:rsidP="00F17DA4">
      <w:pPr>
        <w:rPr>
          <w:rFonts w:ascii="Times New Roman" w:hAnsi="Times New Roman" w:cs="Times New Roman"/>
          <w:b/>
          <w:sz w:val="24"/>
          <w:szCs w:val="24"/>
        </w:rPr>
      </w:pPr>
    </w:p>
    <w:p w:rsidR="002C5A29" w:rsidRPr="00F87A89" w:rsidRDefault="002C5A29" w:rsidP="00F17DA4">
      <w:pPr>
        <w:rPr>
          <w:rFonts w:ascii="Times New Roman" w:hAnsi="Times New Roman" w:cs="Times New Roman"/>
          <w:b/>
          <w:sz w:val="24"/>
          <w:szCs w:val="24"/>
        </w:rPr>
      </w:pPr>
    </w:p>
    <w:p w:rsidR="00E0789B" w:rsidRPr="00B74080" w:rsidRDefault="00E0789B" w:rsidP="00F17DA4">
      <w:pPr>
        <w:rPr>
          <w:rFonts w:ascii="Times New Roman" w:hAnsi="Times New Roman" w:cs="Times New Roman"/>
          <w:b/>
          <w:sz w:val="24"/>
          <w:szCs w:val="24"/>
        </w:rPr>
      </w:pPr>
      <w:r w:rsidRPr="00B74080">
        <w:rPr>
          <w:rFonts w:ascii="Times New Roman" w:hAnsi="Times New Roman" w:cs="Times New Roman"/>
          <w:b/>
          <w:sz w:val="24"/>
          <w:szCs w:val="24"/>
        </w:rPr>
        <w:lastRenderedPageBreak/>
        <w:t xml:space="preserve">Lesson </w:t>
      </w:r>
      <w:r w:rsidR="00BD59AB" w:rsidRPr="00B74080">
        <w:rPr>
          <w:rFonts w:ascii="Times New Roman" w:hAnsi="Times New Roman" w:cs="Times New Roman"/>
          <w:b/>
          <w:sz w:val="24"/>
          <w:szCs w:val="24"/>
        </w:rPr>
        <w:t>8</w:t>
      </w:r>
    </w:p>
    <w:p w:rsidR="00E0789B" w:rsidRPr="00B74080" w:rsidRDefault="00BD59AB" w:rsidP="00F17DA4">
      <w:pPr>
        <w:rPr>
          <w:rFonts w:ascii="Times New Roman" w:hAnsi="Times New Roman" w:cs="Times New Roman"/>
          <w:b/>
          <w:sz w:val="24"/>
          <w:szCs w:val="24"/>
        </w:rPr>
      </w:pPr>
      <w:r w:rsidRPr="00B74080">
        <w:rPr>
          <w:rFonts w:ascii="Times New Roman" w:hAnsi="Times New Roman" w:cs="Times New Roman"/>
          <w:b/>
          <w:sz w:val="24"/>
          <w:szCs w:val="24"/>
        </w:rPr>
        <w:t>Resource Mobilisation through International Markets</w:t>
      </w:r>
    </w:p>
    <w:p w:rsidR="00BD59AB" w:rsidRPr="00B74080" w:rsidRDefault="00BD59AB" w:rsidP="00F17DA4">
      <w:pPr>
        <w:rPr>
          <w:rFonts w:ascii="Times New Roman" w:hAnsi="Times New Roman" w:cs="Times New Roman"/>
          <w:sz w:val="24"/>
          <w:szCs w:val="24"/>
        </w:rPr>
      </w:pPr>
      <w:r w:rsidRPr="00B74080">
        <w:rPr>
          <w:rFonts w:ascii="Times New Roman" w:hAnsi="Times New Roman" w:cs="Times New Roman"/>
          <w:sz w:val="24"/>
          <w:szCs w:val="24"/>
        </w:rPr>
        <w:t xml:space="preserve">Markets regulator </w:t>
      </w:r>
      <w:proofErr w:type="spellStart"/>
      <w:r w:rsidRPr="00B74080">
        <w:rPr>
          <w:rFonts w:ascii="Times New Roman" w:hAnsi="Times New Roman" w:cs="Times New Roman"/>
          <w:sz w:val="24"/>
          <w:szCs w:val="24"/>
        </w:rPr>
        <w:t>SEBI</w:t>
      </w:r>
      <w:proofErr w:type="spellEnd"/>
      <w:r w:rsidRPr="00B74080">
        <w:rPr>
          <w:rFonts w:ascii="Times New Roman" w:hAnsi="Times New Roman" w:cs="Times New Roman"/>
          <w:sz w:val="24"/>
          <w:szCs w:val="24"/>
        </w:rPr>
        <w:t xml:space="preserve"> came out with a detailed framework for issuance of depository receipts (DRs), a move that will provide Indian companies increased access to foreign funds.</w:t>
      </w:r>
    </w:p>
    <w:p w:rsidR="00BD59AB" w:rsidRPr="00B74080" w:rsidRDefault="00BD59AB" w:rsidP="00F17DA4">
      <w:pPr>
        <w:rPr>
          <w:rFonts w:ascii="Times New Roman" w:hAnsi="Times New Roman" w:cs="Times New Roman"/>
          <w:sz w:val="24"/>
          <w:szCs w:val="24"/>
        </w:rPr>
      </w:pPr>
      <w:r w:rsidRPr="00B74080">
        <w:rPr>
          <w:rFonts w:ascii="Times New Roman" w:hAnsi="Times New Roman" w:cs="Times New Roman"/>
          <w:sz w:val="24"/>
          <w:szCs w:val="24"/>
        </w:rPr>
        <w:t xml:space="preserve">The new framework will give Indian companies increased access to foreign funds through American Depository Receipt (ADR)/ Global Depository Receipt (GDR). The liberalised norms for DRs </w:t>
      </w:r>
      <w:proofErr w:type="gramStart"/>
      <w:r w:rsidRPr="00B74080">
        <w:rPr>
          <w:rFonts w:ascii="Times New Roman" w:hAnsi="Times New Roman" w:cs="Times New Roman"/>
          <w:sz w:val="24"/>
          <w:szCs w:val="24"/>
        </w:rPr>
        <w:t>were issued</w:t>
      </w:r>
      <w:proofErr w:type="gramEnd"/>
      <w:r w:rsidRPr="00B74080">
        <w:rPr>
          <w:rFonts w:ascii="Times New Roman" w:hAnsi="Times New Roman" w:cs="Times New Roman"/>
          <w:sz w:val="24"/>
          <w:szCs w:val="24"/>
        </w:rPr>
        <w:t xml:space="preserve"> in 2014 but could not be implemented due to concerns raised by SEBI.</w:t>
      </w:r>
    </w:p>
    <w:p w:rsidR="00BD59AB" w:rsidRPr="00B74080" w:rsidRDefault="00BD59AB" w:rsidP="00F17DA4">
      <w:pPr>
        <w:rPr>
          <w:rFonts w:ascii="Times New Roman" w:hAnsi="Times New Roman" w:cs="Times New Roman"/>
          <w:sz w:val="24"/>
          <w:szCs w:val="24"/>
        </w:rPr>
      </w:pPr>
      <w:r w:rsidRPr="00B74080">
        <w:rPr>
          <w:rFonts w:ascii="Times New Roman" w:hAnsi="Times New Roman" w:cs="Times New Roman"/>
          <w:sz w:val="24"/>
          <w:szCs w:val="24"/>
        </w:rPr>
        <w:t>A depository receipt is a foreign currency denominated instrument, listed on an international exchange, issued by a foreign depository to a domestic custodian and includes global depository receipts (GDRs).</w:t>
      </w:r>
    </w:p>
    <w:p w:rsidR="00BD59AB" w:rsidRPr="00B74080" w:rsidRDefault="00BD59AB" w:rsidP="00F17DA4">
      <w:pPr>
        <w:rPr>
          <w:rFonts w:ascii="Times New Roman" w:hAnsi="Times New Roman" w:cs="Times New Roman"/>
          <w:sz w:val="24"/>
          <w:szCs w:val="24"/>
        </w:rPr>
      </w:pPr>
      <w:r w:rsidRPr="00B74080">
        <w:rPr>
          <w:rFonts w:ascii="Times New Roman" w:hAnsi="Times New Roman" w:cs="Times New Roman"/>
          <w:sz w:val="24"/>
          <w:szCs w:val="24"/>
        </w:rPr>
        <w:t xml:space="preserve">As per the circular, SEBI has issued detailed procedure that needs to </w:t>
      </w:r>
      <w:proofErr w:type="gramStart"/>
      <w:r w:rsidRPr="00B74080">
        <w:rPr>
          <w:rFonts w:ascii="Times New Roman" w:hAnsi="Times New Roman" w:cs="Times New Roman"/>
          <w:sz w:val="24"/>
          <w:szCs w:val="24"/>
        </w:rPr>
        <w:t>be followed</w:t>
      </w:r>
      <w:proofErr w:type="gramEnd"/>
      <w:r w:rsidRPr="00B74080">
        <w:rPr>
          <w:rFonts w:ascii="Times New Roman" w:hAnsi="Times New Roman" w:cs="Times New Roman"/>
          <w:sz w:val="24"/>
          <w:szCs w:val="24"/>
        </w:rPr>
        <w:t xml:space="preserve"> for issuance of DRs, besides eligibility criteria for listed companies and obligations of Indian as well as foreign depositories and domestic custodians.</w:t>
      </w:r>
    </w:p>
    <w:p w:rsidR="00AC3A14" w:rsidRPr="00B74080" w:rsidRDefault="00BD59AB" w:rsidP="00F17DA4">
      <w:pPr>
        <w:rPr>
          <w:rFonts w:ascii="Times New Roman" w:hAnsi="Times New Roman" w:cs="Times New Roman"/>
          <w:sz w:val="24"/>
          <w:szCs w:val="24"/>
        </w:rPr>
      </w:pPr>
      <w:r w:rsidRPr="00B74080">
        <w:rPr>
          <w:rFonts w:ascii="Times New Roman" w:hAnsi="Times New Roman" w:cs="Times New Roman"/>
          <w:sz w:val="24"/>
          <w:szCs w:val="24"/>
        </w:rPr>
        <w:t xml:space="preserve">The regulator said that only a listed company </w:t>
      </w:r>
      <w:proofErr w:type="gramStart"/>
      <w:r w:rsidRPr="00B74080">
        <w:rPr>
          <w:rFonts w:ascii="Times New Roman" w:hAnsi="Times New Roman" w:cs="Times New Roman"/>
          <w:sz w:val="24"/>
          <w:szCs w:val="24"/>
        </w:rPr>
        <w:t>is allowed</w:t>
      </w:r>
      <w:proofErr w:type="gramEnd"/>
      <w:r w:rsidRPr="00B74080">
        <w:rPr>
          <w:rFonts w:ascii="Times New Roman" w:hAnsi="Times New Roman" w:cs="Times New Roman"/>
          <w:sz w:val="24"/>
          <w:szCs w:val="24"/>
        </w:rPr>
        <w:t xml:space="preserve"> to issue permissible securities or their holders may transfer such securities for the issuance of DRs. </w:t>
      </w:r>
      <w:r w:rsidR="00AC3A14" w:rsidRPr="00B74080">
        <w:rPr>
          <w:rFonts w:ascii="Times New Roman" w:hAnsi="Times New Roman" w:cs="Times New Roman"/>
          <w:sz w:val="24"/>
          <w:szCs w:val="24"/>
        </w:rPr>
        <w:t>However, such issue or transfer of permissible securities for the purpose of issue of DRs shall be subsequent to, the receipt of trading approval from the recognised stock exchange for the public offer.</w:t>
      </w:r>
    </w:p>
    <w:p w:rsidR="001721CC" w:rsidRPr="00B74080" w:rsidRDefault="001721CC" w:rsidP="00F17DA4">
      <w:pPr>
        <w:rPr>
          <w:rFonts w:ascii="Times New Roman" w:hAnsi="Times New Roman" w:cs="Times New Roman"/>
          <w:sz w:val="24"/>
          <w:szCs w:val="24"/>
        </w:rPr>
      </w:pPr>
      <w:r w:rsidRPr="00B74080">
        <w:rPr>
          <w:rFonts w:ascii="Times New Roman" w:hAnsi="Times New Roman" w:cs="Times New Roman"/>
          <w:sz w:val="24"/>
          <w:szCs w:val="24"/>
        </w:rPr>
        <w:t xml:space="preserve">For more details, you may access </w:t>
      </w:r>
      <w:proofErr w:type="gramStart"/>
      <w:r w:rsidRPr="00B74080">
        <w:rPr>
          <w:rFonts w:ascii="Times New Roman" w:hAnsi="Times New Roman" w:cs="Times New Roman"/>
          <w:sz w:val="24"/>
          <w:szCs w:val="24"/>
        </w:rPr>
        <w:t>at:</w:t>
      </w:r>
      <w:proofErr w:type="gramEnd"/>
      <w:r w:rsidRPr="00B74080">
        <w:rPr>
          <w:rFonts w:ascii="Times New Roman" w:hAnsi="Times New Roman" w:cs="Times New Roman"/>
          <w:sz w:val="24"/>
          <w:szCs w:val="24"/>
        </w:rPr>
        <w:t xml:space="preserve"> </w:t>
      </w:r>
      <w:hyperlink r:id="rId19" w:history="1">
        <w:r w:rsidR="005127A5" w:rsidRPr="00B74080">
          <w:rPr>
            <w:rStyle w:val="Hyperlink"/>
            <w:rFonts w:ascii="Times New Roman" w:hAnsi="Times New Roman" w:cs="Times New Roman"/>
            <w:sz w:val="24"/>
            <w:szCs w:val="24"/>
          </w:rPr>
          <w:t>https://www.sebi.gov.in/legal/circulars/oct-2019/framework-for-issue-of-depository-receipts_44609.html</w:t>
        </w:r>
      </w:hyperlink>
    </w:p>
    <w:p w:rsidR="00AC3A14" w:rsidRDefault="00AC3A14" w:rsidP="00F17DA4">
      <w:pPr>
        <w:rPr>
          <w:rFonts w:ascii="Times New Roman" w:hAnsi="Times New Roman" w:cs="Times New Roman"/>
          <w:sz w:val="24"/>
          <w:szCs w:val="24"/>
        </w:rPr>
      </w:pPr>
    </w:p>
    <w:p w:rsidR="00F06A0F" w:rsidRDefault="00F06A0F" w:rsidP="00F17DA4">
      <w:pPr>
        <w:rPr>
          <w:rFonts w:ascii="Times New Roman" w:hAnsi="Times New Roman" w:cs="Times New Roman"/>
          <w:b/>
          <w:sz w:val="24"/>
          <w:szCs w:val="24"/>
        </w:rPr>
      </w:pPr>
      <w:r w:rsidRPr="0025717B">
        <w:rPr>
          <w:rFonts w:ascii="Times New Roman" w:hAnsi="Times New Roman" w:cs="Times New Roman"/>
          <w:b/>
          <w:sz w:val="24"/>
          <w:szCs w:val="24"/>
        </w:rPr>
        <w:t>Lesson 9</w:t>
      </w:r>
    </w:p>
    <w:p w:rsidR="0025717B" w:rsidRDefault="0025717B" w:rsidP="00F17DA4">
      <w:pPr>
        <w:rPr>
          <w:rFonts w:ascii="Times New Roman" w:hAnsi="Times New Roman" w:cs="Times New Roman"/>
          <w:b/>
          <w:sz w:val="24"/>
          <w:szCs w:val="24"/>
        </w:rPr>
      </w:pPr>
      <w:r w:rsidRPr="0025717B">
        <w:rPr>
          <w:rFonts w:ascii="Times New Roman" w:hAnsi="Times New Roman" w:cs="Times New Roman"/>
          <w:b/>
          <w:sz w:val="24"/>
          <w:szCs w:val="24"/>
        </w:rPr>
        <w:t xml:space="preserve">Resource Mobilization </w:t>
      </w:r>
      <w:r w:rsidR="00F54224" w:rsidRPr="0025717B">
        <w:rPr>
          <w:rFonts w:ascii="Times New Roman" w:hAnsi="Times New Roman" w:cs="Times New Roman"/>
          <w:b/>
          <w:sz w:val="24"/>
          <w:szCs w:val="24"/>
        </w:rPr>
        <w:t>through</w:t>
      </w:r>
      <w:r w:rsidRPr="0025717B">
        <w:rPr>
          <w:rFonts w:ascii="Times New Roman" w:hAnsi="Times New Roman" w:cs="Times New Roman"/>
          <w:b/>
          <w:sz w:val="24"/>
          <w:szCs w:val="24"/>
        </w:rPr>
        <w:t xml:space="preserve"> International Markets</w:t>
      </w:r>
    </w:p>
    <w:p w:rsidR="00F54224" w:rsidRDefault="00F54224" w:rsidP="00F17DA4">
      <w:pPr>
        <w:pStyle w:val="Heading3"/>
        <w:shd w:val="clear" w:color="auto" w:fill="FFFFFF"/>
        <w:spacing w:before="0"/>
        <w:rPr>
          <w:rFonts w:ascii="Times New Roman" w:hAnsi="Times New Roman" w:cs="Times New Roman"/>
          <w:bCs w:val="0"/>
          <w:color w:val="auto"/>
          <w:sz w:val="24"/>
          <w:szCs w:val="24"/>
        </w:rPr>
      </w:pPr>
      <w:r w:rsidRPr="00F54224">
        <w:rPr>
          <w:rFonts w:ascii="Times New Roman" w:hAnsi="Times New Roman" w:cs="Times New Roman"/>
          <w:bCs w:val="0"/>
          <w:color w:val="auto"/>
          <w:sz w:val="24"/>
          <w:szCs w:val="24"/>
        </w:rPr>
        <w:t>Securities and Exchange Board of India (Infrastructure Investment Trusts) (Second Amendment) Regulations, 2020</w:t>
      </w:r>
    </w:p>
    <w:p w:rsidR="009E3D7C" w:rsidRPr="009E3D7C" w:rsidRDefault="009E3D7C" w:rsidP="00F17DA4">
      <w:pPr>
        <w:pStyle w:val="Heading3"/>
        <w:shd w:val="clear" w:color="auto" w:fill="FFFFFF"/>
        <w:spacing w:before="0"/>
        <w:rPr>
          <w:rFonts w:ascii="Times New Roman" w:hAnsi="Times New Roman" w:cs="Times New Roman"/>
          <w:b w:val="0"/>
          <w:bCs w:val="0"/>
          <w:color w:val="auto"/>
          <w:sz w:val="24"/>
          <w:szCs w:val="24"/>
        </w:rPr>
      </w:pPr>
      <w:r w:rsidRPr="009E3D7C">
        <w:rPr>
          <w:rFonts w:ascii="Times New Roman" w:hAnsi="Times New Roman" w:cs="Times New Roman"/>
          <w:b w:val="0"/>
          <w:bCs w:val="0"/>
          <w:color w:val="auto"/>
          <w:sz w:val="24"/>
          <w:szCs w:val="24"/>
        </w:rPr>
        <w:t>Securities and Exchange Board of India (Infrastructure Investment Trusts) (Second Amendment) Regulations, 2020</w:t>
      </w:r>
    </w:p>
    <w:p w:rsidR="009E3D7C" w:rsidRPr="009E3D7C" w:rsidRDefault="009E3D7C" w:rsidP="00F17DA4">
      <w:pPr>
        <w:pStyle w:val="NormalWeb"/>
        <w:shd w:val="clear" w:color="auto" w:fill="FFFFFF"/>
        <w:spacing w:before="0" w:beforeAutospacing="0"/>
        <w:jc w:val="both"/>
      </w:pPr>
      <w:r w:rsidRPr="009E3D7C">
        <w:t xml:space="preserve">On 16 June 2020, </w:t>
      </w:r>
      <w:proofErr w:type="spellStart"/>
      <w:r w:rsidRPr="009E3D7C">
        <w:t>SEBI</w:t>
      </w:r>
      <w:proofErr w:type="spellEnd"/>
      <w:r w:rsidRPr="009E3D7C">
        <w:t xml:space="preserve"> issued the Securities and Exchange Board of India (Infrastructure Investment Trusts) (Second Amendment) Regulations, 2020 (which came into force from 16 June 2020) to further amend the Securities and Exchange Board of India (Infrastructure Investment Trusts) Regulations, 2014. In terms of the amendment, new clauses </w:t>
      </w:r>
      <w:proofErr w:type="gramStart"/>
      <w:r w:rsidRPr="009E3D7C">
        <w:t>have been introduced</w:t>
      </w:r>
      <w:proofErr w:type="gramEnd"/>
      <w:r w:rsidRPr="009E3D7C">
        <w:t xml:space="preserve"> that, amongst others, provide for:</w:t>
      </w:r>
    </w:p>
    <w:p w:rsidR="009E3D7C" w:rsidRPr="009E3D7C" w:rsidRDefault="009E3D7C" w:rsidP="00F17DA4">
      <w:pPr>
        <w:numPr>
          <w:ilvl w:val="0"/>
          <w:numId w:val="16"/>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de-classification of the status of a sponsor(s) of an Infrastructure Investment Trusts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whose units have been listed on the stock exchanges for a period of three years shall be permitted upon receipt of an application from the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and subject to compliance with the following conditions:</w:t>
      </w:r>
    </w:p>
    <w:p w:rsidR="009E3D7C" w:rsidRPr="009E3D7C" w:rsidRDefault="009E3D7C" w:rsidP="00F17DA4">
      <w:pPr>
        <w:numPr>
          <w:ilvl w:val="1"/>
          <w:numId w:val="16"/>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lastRenderedPageBreak/>
        <w:t xml:space="preserve">The unit holding of such sponsor and its associates taken together does not exceed 10% of the outstanding units of the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w:t>
      </w:r>
    </w:p>
    <w:p w:rsidR="009E3D7C" w:rsidRPr="009E3D7C" w:rsidRDefault="009E3D7C" w:rsidP="00F17DA4">
      <w:pPr>
        <w:numPr>
          <w:ilvl w:val="1"/>
          <w:numId w:val="16"/>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 xml:space="preserve">The investment manager of the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is not an entity controlled by such sponsor or its associates;</w:t>
      </w:r>
    </w:p>
    <w:p w:rsidR="009E3D7C" w:rsidRPr="009E3D7C" w:rsidRDefault="009E3D7C" w:rsidP="00F17DA4">
      <w:pPr>
        <w:numPr>
          <w:ilvl w:val="1"/>
          <w:numId w:val="16"/>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 xml:space="preserve">Approval of unit holders </w:t>
      </w:r>
      <w:proofErr w:type="gramStart"/>
      <w:r w:rsidRPr="009E3D7C">
        <w:rPr>
          <w:rFonts w:ascii="Times New Roman" w:hAnsi="Times New Roman" w:cs="Times New Roman"/>
          <w:sz w:val="24"/>
          <w:szCs w:val="24"/>
        </w:rPr>
        <w:t>has been obtained</w:t>
      </w:r>
      <w:proofErr w:type="gramEnd"/>
      <w:r w:rsidRPr="009E3D7C">
        <w:rPr>
          <w:rFonts w:ascii="Times New Roman" w:hAnsi="Times New Roman" w:cs="Times New Roman"/>
          <w:sz w:val="24"/>
          <w:szCs w:val="24"/>
        </w:rPr>
        <w:t xml:space="preserve"> in accordance with sub-regulation 4 of Regulation 22 (related to rights and meetings of unit holders).</w:t>
      </w:r>
    </w:p>
    <w:p w:rsidR="00F54224" w:rsidRPr="002C5A29" w:rsidRDefault="009E3D7C" w:rsidP="00F17DA4">
      <w:pPr>
        <w:numPr>
          <w:ilvl w:val="0"/>
          <w:numId w:val="16"/>
        </w:numPr>
        <w:shd w:val="clear" w:color="auto" w:fill="FFFFFF"/>
        <w:spacing w:before="100" w:beforeAutospacing="1" w:after="100" w:afterAutospacing="1" w:line="231" w:lineRule="atLeast"/>
        <w:rPr>
          <w:rFonts w:ascii="Times New Roman" w:hAnsi="Times New Roman" w:cs="Times New Roman"/>
          <w:sz w:val="24"/>
          <w:szCs w:val="24"/>
        </w:rPr>
      </w:pPr>
      <w:proofErr w:type="gramStart"/>
      <w:r w:rsidRPr="009E3D7C">
        <w:rPr>
          <w:rFonts w:ascii="Times New Roman" w:hAnsi="Times New Roman" w:cs="Times New Roman"/>
          <w:sz w:val="24"/>
          <w:szCs w:val="24"/>
        </w:rPr>
        <w:t xml:space="preserve">No person, other than sponsor(s), its related parties and its associates, shall acquire units of an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which taken together with units held by such person and by persons acting in concert with such person in such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exceeds 25% of the value of outstanding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units unless approval from 75% of the unit holders by value excluding the value of units held by parties related to the transaction, is obtained.</w:t>
      </w:r>
      <w:proofErr w:type="gramEnd"/>
      <w:r w:rsidRPr="009E3D7C">
        <w:rPr>
          <w:rFonts w:ascii="Times New Roman" w:hAnsi="Times New Roman" w:cs="Times New Roman"/>
          <w:sz w:val="24"/>
          <w:szCs w:val="24"/>
        </w:rPr>
        <w:t xml:space="preserve"> Provided that if the required approval is not received, the person acquiring the units shall provide an exit option to the dissenting unit holders to the extent and in the manner as may be specified by the Board.</w:t>
      </w:r>
    </w:p>
    <w:p w:rsidR="00F54224" w:rsidRPr="009E3D7C" w:rsidRDefault="00F54224" w:rsidP="00F17DA4">
      <w:pPr>
        <w:pStyle w:val="NormalWeb"/>
        <w:shd w:val="clear" w:color="auto" w:fill="FFFFFF"/>
        <w:spacing w:before="0" w:beforeAutospacing="0"/>
        <w:jc w:val="both"/>
      </w:pPr>
      <w:r w:rsidRPr="009E3D7C">
        <w:t xml:space="preserve">On 16 June 2020, </w:t>
      </w:r>
      <w:proofErr w:type="spellStart"/>
      <w:r w:rsidRPr="009E3D7C">
        <w:t>SEBI</w:t>
      </w:r>
      <w:proofErr w:type="spellEnd"/>
      <w:r w:rsidRPr="009E3D7C">
        <w:t xml:space="preserve"> issued the Securities and Exchange Board of India (Infrastructure Investment Trusts) (Second Amendment) Regulations, 2020 (which came into force from 16 June 2020) to further amend the Securities and Exchange Board of India (Infrastructure Investment Trusts) Regulations, 2014. In terms of the amendment, new clauses </w:t>
      </w:r>
      <w:proofErr w:type="gramStart"/>
      <w:r w:rsidRPr="009E3D7C">
        <w:t>have been introduced</w:t>
      </w:r>
      <w:proofErr w:type="gramEnd"/>
      <w:r w:rsidRPr="009E3D7C">
        <w:t xml:space="preserve"> that, amongst others, provide for:</w:t>
      </w:r>
    </w:p>
    <w:p w:rsidR="00F54224" w:rsidRPr="009E3D7C" w:rsidRDefault="00F54224" w:rsidP="00F17DA4">
      <w:pPr>
        <w:numPr>
          <w:ilvl w:val="0"/>
          <w:numId w:val="15"/>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de-classification of the status of a sponsor(s) of an Infrastructure Investment Trusts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whose units have been listed on the stock exchanges for a period of three years shall be permitted upon receipt of an application from the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and subject to compliance with the following conditions:</w:t>
      </w:r>
    </w:p>
    <w:p w:rsidR="00F54224" w:rsidRPr="009E3D7C" w:rsidRDefault="00F54224" w:rsidP="00F17DA4">
      <w:pPr>
        <w:numPr>
          <w:ilvl w:val="1"/>
          <w:numId w:val="15"/>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 xml:space="preserve">The unit holding of such sponsor and its associates taken together does not exceed 10% of the outstanding units of the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w:t>
      </w:r>
    </w:p>
    <w:p w:rsidR="00F54224" w:rsidRPr="009E3D7C" w:rsidRDefault="00F54224" w:rsidP="00F17DA4">
      <w:pPr>
        <w:numPr>
          <w:ilvl w:val="1"/>
          <w:numId w:val="15"/>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 xml:space="preserve">The investment manager of the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is not an entity controlled by such sponsor or its associates;</w:t>
      </w:r>
    </w:p>
    <w:p w:rsidR="00F54224" w:rsidRPr="009E3D7C" w:rsidRDefault="00F54224" w:rsidP="00F17DA4">
      <w:pPr>
        <w:numPr>
          <w:ilvl w:val="1"/>
          <w:numId w:val="15"/>
        </w:numPr>
        <w:shd w:val="clear" w:color="auto" w:fill="FFFFFF"/>
        <w:spacing w:before="100" w:beforeAutospacing="1" w:after="100" w:afterAutospacing="1" w:line="231" w:lineRule="atLeast"/>
        <w:rPr>
          <w:rFonts w:ascii="Times New Roman" w:hAnsi="Times New Roman" w:cs="Times New Roman"/>
          <w:sz w:val="24"/>
          <w:szCs w:val="24"/>
        </w:rPr>
      </w:pPr>
      <w:r w:rsidRPr="009E3D7C">
        <w:rPr>
          <w:rFonts w:ascii="Times New Roman" w:hAnsi="Times New Roman" w:cs="Times New Roman"/>
          <w:sz w:val="24"/>
          <w:szCs w:val="24"/>
        </w:rPr>
        <w:t xml:space="preserve">Approval of unit holders </w:t>
      </w:r>
      <w:proofErr w:type="gramStart"/>
      <w:r w:rsidRPr="009E3D7C">
        <w:rPr>
          <w:rFonts w:ascii="Times New Roman" w:hAnsi="Times New Roman" w:cs="Times New Roman"/>
          <w:sz w:val="24"/>
          <w:szCs w:val="24"/>
        </w:rPr>
        <w:t>has been obtained</w:t>
      </w:r>
      <w:proofErr w:type="gramEnd"/>
      <w:r w:rsidRPr="009E3D7C">
        <w:rPr>
          <w:rFonts w:ascii="Times New Roman" w:hAnsi="Times New Roman" w:cs="Times New Roman"/>
          <w:sz w:val="24"/>
          <w:szCs w:val="24"/>
        </w:rPr>
        <w:t xml:space="preserve"> in accordance with sub-regulation 4 of Regulation 22 (related to rights and meetings of unit holders).</w:t>
      </w:r>
    </w:p>
    <w:p w:rsidR="00F54224" w:rsidRPr="009E3D7C" w:rsidRDefault="00F54224" w:rsidP="00F17DA4">
      <w:pPr>
        <w:numPr>
          <w:ilvl w:val="0"/>
          <w:numId w:val="15"/>
        </w:numPr>
        <w:shd w:val="clear" w:color="auto" w:fill="FFFFFF"/>
        <w:spacing w:before="100" w:beforeAutospacing="1" w:after="100" w:afterAutospacing="1" w:line="231" w:lineRule="atLeast"/>
        <w:rPr>
          <w:rFonts w:ascii="Times New Roman" w:hAnsi="Times New Roman" w:cs="Times New Roman"/>
          <w:sz w:val="24"/>
          <w:szCs w:val="24"/>
        </w:rPr>
      </w:pPr>
      <w:proofErr w:type="gramStart"/>
      <w:r w:rsidRPr="009E3D7C">
        <w:rPr>
          <w:rFonts w:ascii="Times New Roman" w:hAnsi="Times New Roman" w:cs="Times New Roman"/>
          <w:sz w:val="24"/>
          <w:szCs w:val="24"/>
        </w:rPr>
        <w:t xml:space="preserve">No person, other than sponsor(s), its related parties and its associates, shall acquire units of an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which taken together with units held by such person and by persons acting in concert with such person in such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exceeds 25% of the value of outstanding </w:t>
      </w:r>
      <w:proofErr w:type="spellStart"/>
      <w:r w:rsidRPr="009E3D7C">
        <w:rPr>
          <w:rFonts w:ascii="Times New Roman" w:hAnsi="Times New Roman" w:cs="Times New Roman"/>
          <w:sz w:val="24"/>
          <w:szCs w:val="24"/>
        </w:rPr>
        <w:t>InvIT</w:t>
      </w:r>
      <w:proofErr w:type="spellEnd"/>
      <w:r w:rsidRPr="009E3D7C">
        <w:rPr>
          <w:rFonts w:ascii="Times New Roman" w:hAnsi="Times New Roman" w:cs="Times New Roman"/>
          <w:sz w:val="24"/>
          <w:szCs w:val="24"/>
        </w:rPr>
        <w:t xml:space="preserve"> units unless approval from 75% of the unit holders by value excluding the value of units held by parties related to the transaction, is obtained.</w:t>
      </w:r>
      <w:proofErr w:type="gramEnd"/>
      <w:r w:rsidRPr="009E3D7C">
        <w:rPr>
          <w:rFonts w:ascii="Times New Roman" w:hAnsi="Times New Roman" w:cs="Times New Roman"/>
          <w:sz w:val="24"/>
          <w:szCs w:val="24"/>
        </w:rPr>
        <w:t xml:space="preserve"> Provided that if the required approval is not received, the person acquiring the units shall provide an exit option to the dissenting unit holders to the extent and in the manner as may be specified by the Board.</w:t>
      </w:r>
    </w:p>
    <w:p w:rsidR="00AC3A14" w:rsidRPr="00F17DA4" w:rsidRDefault="009E3D7C" w:rsidP="00F17DA4">
      <w:pPr>
        <w:rPr>
          <w:rFonts w:ascii="Times New Roman" w:hAnsi="Times New Roman" w:cs="Times New Roman"/>
          <w:b/>
          <w:sz w:val="24"/>
          <w:szCs w:val="24"/>
        </w:rPr>
      </w:pPr>
      <w:r w:rsidRPr="009E3D7C">
        <w:rPr>
          <w:rFonts w:ascii="Times New Roman" w:hAnsi="Times New Roman" w:cs="Times New Roman"/>
          <w:sz w:val="24"/>
          <w:szCs w:val="24"/>
        </w:rPr>
        <w:t xml:space="preserve">For details, please </w:t>
      </w:r>
      <w:proofErr w:type="gramStart"/>
      <w:r w:rsidRPr="009E3D7C">
        <w:rPr>
          <w:rFonts w:ascii="Times New Roman" w:hAnsi="Times New Roman" w:cs="Times New Roman"/>
          <w:sz w:val="24"/>
          <w:szCs w:val="24"/>
        </w:rPr>
        <w:t>refer</w:t>
      </w:r>
      <w:r>
        <w:rPr>
          <w:rFonts w:ascii="Times New Roman" w:hAnsi="Times New Roman" w:cs="Times New Roman"/>
          <w:b/>
          <w:sz w:val="24"/>
          <w:szCs w:val="24"/>
        </w:rPr>
        <w:t>:</w:t>
      </w:r>
      <w:proofErr w:type="gramEnd"/>
      <w:r w:rsidR="00F17DA4">
        <w:rPr>
          <w:rFonts w:ascii="Times New Roman" w:hAnsi="Times New Roman" w:cs="Times New Roman"/>
          <w:b/>
          <w:sz w:val="24"/>
          <w:szCs w:val="24"/>
        </w:rPr>
        <w:t xml:space="preserve"> </w:t>
      </w:r>
      <w:hyperlink r:id="rId20" w:history="1">
        <w:r w:rsidR="00F17DA4">
          <w:rPr>
            <w:rStyle w:val="Hyperlink"/>
          </w:rPr>
          <w:t>https://www.sebi.gov.in/legal/regulations/jun-2020/securities-and-exchange-board-of-india-infrastructure-investment-trusts-second-amendment-regulations-2020_46886.html</w:t>
        </w:r>
      </w:hyperlink>
    </w:p>
    <w:p w:rsidR="002C5A29" w:rsidRDefault="002C5A29" w:rsidP="00D76528">
      <w:pPr>
        <w:rPr>
          <w:rFonts w:ascii="Times New Roman" w:hAnsi="Times New Roman" w:cs="Times New Roman"/>
          <w:b/>
          <w:sz w:val="24"/>
          <w:szCs w:val="24"/>
        </w:rPr>
      </w:pPr>
    </w:p>
    <w:p w:rsidR="002C5A29" w:rsidRDefault="002C5A29" w:rsidP="00D76528">
      <w:pPr>
        <w:rPr>
          <w:rFonts w:ascii="Times New Roman" w:hAnsi="Times New Roman" w:cs="Times New Roman"/>
          <w:b/>
          <w:sz w:val="24"/>
          <w:szCs w:val="24"/>
        </w:rPr>
      </w:pPr>
    </w:p>
    <w:p w:rsidR="002C5A29" w:rsidRDefault="002C5A29" w:rsidP="00D76528">
      <w:pPr>
        <w:rPr>
          <w:rFonts w:ascii="Times New Roman" w:hAnsi="Times New Roman" w:cs="Times New Roman"/>
          <w:b/>
          <w:sz w:val="24"/>
          <w:szCs w:val="24"/>
        </w:rPr>
      </w:pPr>
    </w:p>
    <w:p w:rsidR="002C5A29" w:rsidRDefault="002C5A29" w:rsidP="00D76528">
      <w:pPr>
        <w:rPr>
          <w:rFonts w:ascii="Times New Roman" w:hAnsi="Times New Roman" w:cs="Times New Roman"/>
          <w:b/>
          <w:sz w:val="24"/>
          <w:szCs w:val="24"/>
        </w:rPr>
      </w:pPr>
    </w:p>
    <w:p w:rsidR="00AC3A14" w:rsidRPr="00B74080" w:rsidRDefault="00AC3A14" w:rsidP="00D76528">
      <w:pPr>
        <w:rPr>
          <w:rFonts w:ascii="Times New Roman" w:hAnsi="Times New Roman" w:cs="Times New Roman"/>
          <w:b/>
          <w:sz w:val="24"/>
          <w:szCs w:val="24"/>
        </w:rPr>
      </w:pPr>
      <w:r w:rsidRPr="00B74080">
        <w:rPr>
          <w:rFonts w:ascii="Times New Roman" w:hAnsi="Times New Roman" w:cs="Times New Roman"/>
          <w:b/>
          <w:sz w:val="24"/>
          <w:szCs w:val="24"/>
        </w:rPr>
        <w:lastRenderedPageBreak/>
        <w:t>Lesson 12</w:t>
      </w:r>
    </w:p>
    <w:p w:rsidR="00AC3A14" w:rsidRPr="00B74080" w:rsidRDefault="00AC3A14" w:rsidP="00D76528">
      <w:pPr>
        <w:rPr>
          <w:rFonts w:ascii="Times New Roman" w:hAnsi="Times New Roman" w:cs="Times New Roman"/>
          <w:b/>
          <w:sz w:val="24"/>
          <w:szCs w:val="24"/>
        </w:rPr>
      </w:pPr>
      <w:r w:rsidRPr="00B74080">
        <w:rPr>
          <w:rFonts w:ascii="Times New Roman" w:hAnsi="Times New Roman" w:cs="Times New Roman"/>
          <w:b/>
          <w:sz w:val="24"/>
          <w:szCs w:val="24"/>
        </w:rPr>
        <w:t>Money Market</w:t>
      </w:r>
    </w:p>
    <w:p w:rsidR="001721CC" w:rsidRPr="00B74080" w:rsidRDefault="001721CC" w:rsidP="00D76528">
      <w:pPr>
        <w:rPr>
          <w:rFonts w:ascii="Times New Roman" w:hAnsi="Times New Roman" w:cs="Times New Roman"/>
          <w:b/>
          <w:sz w:val="24"/>
          <w:szCs w:val="24"/>
        </w:rPr>
      </w:pPr>
      <w:r w:rsidRPr="00B74080">
        <w:rPr>
          <w:rFonts w:ascii="Times New Roman" w:hAnsi="Times New Roman" w:cs="Times New Roman"/>
          <w:b/>
          <w:sz w:val="24"/>
          <w:szCs w:val="24"/>
        </w:rPr>
        <w:t>Framework for Listing of Commercial Papers</w:t>
      </w:r>
    </w:p>
    <w:p w:rsidR="00633553" w:rsidRPr="00B74080" w:rsidRDefault="00633553" w:rsidP="00F17DA4">
      <w:pPr>
        <w:rPr>
          <w:rFonts w:ascii="Times New Roman" w:hAnsi="Times New Roman" w:cs="Times New Roman"/>
          <w:sz w:val="24"/>
          <w:szCs w:val="24"/>
        </w:rPr>
      </w:pPr>
      <w:r w:rsidRPr="00B74080">
        <w:rPr>
          <w:rFonts w:ascii="Times New Roman" w:hAnsi="Times New Roman" w:cs="Times New Roman"/>
          <w:sz w:val="24"/>
          <w:szCs w:val="24"/>
        </w:rPr>
        <w:t xml:space="preserve">Leading stock exchanges BSE and NSE have come out with a framework for listing of commercial papers, a move aimed at broadening investors' participation in such securities. </w:t>
      </w:r>
    </w:p>
    <w:p w:rsidR="00633553" w:rsidRPr="00B74080" w:rsidRDefault="00633553" w:rsidP="00F17DA4">
      <w:pPr>
        <w:rPr>
          <w:rFonts w:ascii="Times New Roman" w:hAnsi="Times New Roman" w:cs="Times New Roman"/>
          <w:sz w:val="24"/>
          <w:szCs w:val="24"/>
        </w:rPr>
      </w:pPr>
      <w:r w:rsidRPr="00B74080">
        <w:rPr>
          <w:rFonts w:ascii="Times New Roman" w:hAnsi="Times New Roman" w:cs="Times New Roman"/>
          <w:sz w:val="24"/>
          <w:szCs w:val="24"/>
        </w:rPr>
        <w:t xml:space="preserve">Issuers can now apply for listing of commercial </w:t>
      </w:r>
      <w:proofErr w:type="gramStart"/>
      <w:r w:rsidRPr="00B74080">
        <w:rPr>
          <w:rFonts w:ascii="Times New Roman" w:hAnsi="Times New Roman" w:cs="Times New Roman"/>
          <w:sz w:val="24"/>
          <w:szCs w:val="24"/>
        </w:rPr>
        <w:t>papers</w:t>
      </w:r>
      <w:proofErr w:type="gramEnd"/>
      <w:r w:rsidRPr="00B74080">
        <w:rPr>
          <w:rFonts w:ascii="Times New Roman" w:hAnsi="Times New Roman" w:cs="Times New Roman"/>
          <w:sz w:val="24"/>
          <w:szCs w:val="24"/>
        </w:rPr>
        <w:t xml:space="preserve"> (CPs) issued on or after November 27, 2019, the exchanges said in two separate notices. This come after the capital markets regulator Securities and Exchange Board of India (Sebi) in October asked exchanges to put in place necessary framework for systems and procedures for listing of commercial papers.</w:t>
      </w:r>
    </w:p>
    <w:p w:rsidR="00633553" w:rsidRPr="00B74080" w:rsidRDefault="00633553" w:rsidP="00F17DA4">
      <w:pPr>
        <w:rPr>
          <w:rFonts w:ascii="Times New Roman" w:hAnsi="Times New Roman" w:cs="Times New Roman"/>
          <w:sz w:val="24"/>
          <w:szCs w:val="24"/>
        </w:rPr>
      </w:pPr>
      <w:r w:rsidRPr="00B74080">
        <w:rPr>
          <w:rFonts w:ascii="Times New Roman" w:hAnsi="Times New Roman" w:cs="Times New Roman"/>
          <w:sz w:val="24"/>
          <w:szCs w:val="24"/>
        </w:rPr>
        <w:t>Under the guidelines, issuer who desires to list its CPs needs to send an application for listing along with the specified disclosures to stock exchanges.</w:t>
      </w:r>
    </w:p>
    <w:p w:rsidR="00633553" w:rsidRPr="00B74080" w:rsidRDefault="00633553" w:rsidP="00F17DA4">
      <w:pPr>
        <w:rPr>
          <w:rFonts w:ascii="Times New Roman" w:hAnsi="Times New Roman" w:cs="Times New Roman"/>
          <w:sz w:val="24"/>
          <w:szCs w:val="24"/>
        </w:rPr>
      </w:pPr>
      <w:r w:rsidRPr="00B74080">
        <w:rPr>
          <w:rFonts w:ascii="Times New Roman" w:hAnsi="Times New Roman" w:cs="Times New Roman"/>
          <w:sz w:val="24"/>
          <w:szCs w:val="24"/>
        </w:rPr>
        <w:t>Companies, NBFCs, other entities with a networth of at least Rs 100 crore and any other security specifically allowed by Reserve Bank of India (RBI) are eligible to list commercial papers.</w:t>
      </w:r>
    </w:p>
    <w:p w:rsidR="00633553" w:rsidRPr="00B74080" w:rsidRDefault="001721CC" w:rsidP="00F17DA4">
      <w:pPr>
        <w:rPr>
          <w:rFonts w:ascii="Times New Roman" w:hAnsi="Times New Roman" w:cs="Times New Roman"/>
          <w:sz w:val="24"/>
          <w:szCs w:val="24"/>
        </w:rPr>
      </w:pPr>
      <w:r w:rsidRPr="00B74080">
        <w:rPr>
          <w:rFonts w:ascii="Times New Roman" w:hAnsi="Times New Roman" w:cs="Times New Roman"/>
          <w:sz w:val="24"/>
          <w:szCs w:val="24"/>
        </w:rPr>
        <w:t xml:space="preserve">For more details, you may access </w:t>
      </w:r>
      <w:proofErr w:type="gramStart"/>
      <w:r w:rsidRPr="00B74080">
        <w:rPr>
          <w:rFonts w:ascii="Times New Roman" w:hAnsi="Times New Roman" w:cs="Times New Roman"/>
          <w:sz w:val="24"/>
          <w:szCs w:val="24"/>
        </w:rPr>
        <w:t>at:</w:t>
      </w:r>
      <w:proofErr w:type="gramEnd"/>
      <w:r w:rsidRPr="00B74080">
        <w:rPr>
          <w:rFonts w:ascii="Times New Roman" w:hAnsi="Times New Roman" w:cs="Times New Roman"/>
          <w:sz w:val="24"/>
          <w:szCs w:val="24"/>
        </w:rPr>
        <w:t xml:space="preserve"> </w:t>
      </w:r>
      <w:hyperlink r:id="rId21" w:history="1">
        <w:r w:rsidRPr="00B74080">
          <w:rPr>
            <w:rStyle w:val="Hyperlink"/>
            <w:rFonts w:ascii="Times New Roman" w:hAnsi="Times New Roman" w:cs="Times New Roman"/>
            <w:sz w:val="24"/>
            <w:szCs w:val="24"/>
          </w:rPr>
          <w:t>https://www.sebi.gov.in/legal/circulars/oct-2019/framework-for-listing-of-commercial-paper_44715.html</w:t>
        </w:r>
      </w:hyperlink>
    </w:p>
    <w:p w:rsidR="00704FBF" w:rsidRDefault="00704FBF" w:rsidP="00F17DA4">
      <w:pPr>
        <w:rPr>
          <w:rFonts w:ascii="Times New Roman" w:hAnsi="Times New Roman" w:cs="Times New Roman"/>
          <w:b/>
          <w:sz w:val="24"/>
          <w:szCs w:val="24"/>
        </w:rPr>
      </w:pPr>
    </w:p>
    <w:p w:rsidR="002C5A29" w:rsidRPr="00B74080" w:rsidRDefault="002C5A29" w:rsidP="002C5A29">
      <w:pPr>
        <w:jc w:val="center"/>
        <w:rPr>
          <w:rFonts w:ascii="Times New Roman" w:hAnsi="Times New Roman" w:cs="Times New Roman"/>
          <w:b/>
          <w:sz w:val="24"/>
          <w:szCs w:val="24"/>
        </w:rPr>
      </w:pPr>
      <w:r>
        <w:rPr>
          <w:rFonts w:ascii="Times New Roman" w:hAnsi="Times New Roman" w:cs="Times New Roman"/>
          <w:b/>
          <w:sz w:val="24"/>
          <w:szCs w:val="24"/>
        </w:rPr>
        <w:t>**************</w:t>
      </w:r>
    </w:p>
    <w:p w:rsidR="0019691B" w:rsidRPr="00B74080" w:rsidRDefault="0019691B" w:rsidP="00F17DA4">
      <w:pPr>
        <w:rPr>
          <w:rFonts w:ascii="Times New Roman" w:hAnsi="Times New Roman" w:cs="Times New Roman"/>
          <w:b/>
          <w:sz w:val="24"/>
          <w:szCs w:val="24"/>
        </w:rPr>
      </w:pPr>
    </w:p>
    <w:p w:rsidR="00AC3A14" w:rsidRPr="00B74080" w:rsidRDefault="00AC3A14" w:rsidP="00F17DA4">
      <w:pPr>
        <w:rPr>
          <w:rFonts w:ascii="Times New Roman" w:hAnsi="Times New Roman" w:cs="Times New Roman"/>
          <w:sz w:val="24"/>
          <w:szCs w:val="24"/>
        </w:rPr>
      </w:pPr>
    </w:p>
    <w:p w:rsidR="00BD59AB" w:rsidRPr="00B74080" w:rsidRDefault="00BD59AB" w:rsidP="00F17DA4">
      <w:pPr>
        <w:rPr>
          <w:rFonts w:ascii="Times New Roman" w:hAnsi="Times New Roman" w:cs="Times New Roman"/>
          <w:sz w:val="24"/>
          <w:szCs w:val="24"/>
        </w:rPr>
      </w:pPr>
    </w:p>
    <w:p w:rsidR="00BD59AB" w:rsidRPr="00B74080" w:rsidRDefault="00BD59AB" w:rsidP="00F17DA4">
      <w:pPr>
        <w:rPr>
          <w:rFonts w:ascii="Times New Roman" w:hAnsi="Times New Roman" w:cs="Times New Roman"/>
          <w:sz w:val="24"/>
          <w:szCs w:val="24"/>
        </w:rPr>
      </w:pPr>
    </w:p>
    <w:p w:rsidR="00DE04A4" w:rsidRPr="00B74080" w:rsidRDefault="00DE04A4" w:rsidP="00F17DA4">
      <w:pPr>
        <w:rPr>
          <w:rFonts w:ascii="Times New Roman" w:hAnsi="Times New Roman" w:cs="Times New Roman"/>
          <w:sz w:val="24"/>
          <w:szCs w:val="24"/>
        </w:rPr>
      </w:pPr>
    </w:p>
    <w:sectPr w:rsidR="00DE04A4" w:rsidRPr="00B74080" w:rsidSect="00601FDD">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903"/>
    <w:multiLevelType w:val="multilevel"/>
    <w:tmpl w:val="C64E49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123091"/>
    <w:multiLevelType w:val="multilevel"/>
    <w:tmpl w:val="EA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22865"/>
    <w:multiLevelType w:val="multilevel"/>
    <w:tmpl w:val="D75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21630"/>
    <w:multiLevelType w:val="multilevel"/>
    <w:tmpl w:val="E528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72DDA"/>
    <w:multiLevelType w:val="multilevel"/>
    <w:tmpl w:val="68E8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D1E6F"/>
    <w:multiLevelType w:val="multilevel"/>
    <w:tmpl w:val="62443B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7151032"/>
    <w:multiLevelType w:val="multilevel"/>
    <w:tmpl w:val="32BE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17969"/>
    <w:multiLevelType w:val="multilevel"/>
    <w:tmpl w:val="0046F3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BFC04FD"/>
    <w:multiLevelType w:val="multilevel"/>
    <w:tmpl w:val="363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C740B4"/>
    <w:multiLevelType w:val="multilevel"/>
    <w:tmpl w:val="D2242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2B55D48"/>
    <w:multiLevelType w:val="multilevel"/>
    <w:tmpl w:val="CF6E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0F2E40"/>
    <w:multiLevelType w:val="hybridMultilevel"/>
    <w:tmpl w:val="0082EB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E27ABD"/>
    <w:multiLevelType w:val="multilevel"/>
    <w:tmpl w:val="15B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6E35F8"/>
    <w:multiLevelType w:val="multilevel"/>
    <w:tmpl w:val="6560B4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68665C4B"/>
    <w:multiLevelType w:val="multilevel"/>
    <w:tmpl w:val="C122ECE8"/>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7B2A5217"/>
    <w:multiLevelType w:val="multilevel"/>
    <w:tmpl w:val="29EC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
  </w:num>
  <w:num w:numId="4">
    <w:abstractNumId w:val="11"/>
  </w:num>
  <w:num w:numId="5">
    <w:abstractNumId w:val="14"/>
  </w:num>
  <w:num w:numId="6">
    <w:abstractNumId w:val="8"/>
  </w:num>
  <w:num w:numId="7">
    <w:abstractNumId w:val="2"/>
  </w:num>
  <w:num w:numId="8">
    <w:abstractNumId w:val="12"/>
  </w:num>
  <w:num w:numId="9">
    <w:abstractNumId w:val="1"/>
  </w:num>
  <w:num w:numId="10">
    <w:abstractNumId w:val="3"/>
  </w:num>
  <w:num w:numId="11">
    <w:abstractNumId w:val="15"/>
  </w:num>
  <w:num w:numId="12">
    <w:abstractNumId w:val="0"/>
  </w:num>
  <w:num w:numId="13">
    <w:abstractNumId w:val="7"/>
  </w:num>
  <w:num w:numId="14">
    <w:abstractNumId w:val="9"/>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56657"/>
    <w:rsid w:val="00010D49"/>
    <w:rsid w:val="000166C1"/>
    <w:rsid w:val="00040F05"/>
    <w:rsid w:val="000A18D2"/>
    <w:rsid w:val="000C66B7"/>
    <w:rsid w:val="00133486"/>
    <w:rsid w:val="00165918"/>
    <w:rsid w:val="001721CC"/>
    <w:rsid w:val="0019691B"/>
    <w:rsid w:val="001C441D"/>
    <w:rsid w:val="00223F0A"/>
    <w:rsid w:val="0023493F"/>
    <w:rsid w:val="0025717B"/>
    <w:rsid w:val="002C5A29"/>
    <w:rsid w:val="003549E2"/>
    <w:rsid w:val="00355369"/>
    <w:rsid w:val="00371C8C"/>
    <w:rsid w:val="004120B7"/>
    <w:rsid w:val="00481E08"/>
    <w:rsid w:val="005127A5"/>
    <w:rsid w:val="005139E6"/>
    <w:rsid w:val="00586800"/>
    <w:rsid w:val="00593848"/>
    <w:rsid w:val="005B6154"/>
    <w:rsid w:val="00601FDD"/>
    <w:rsid w:val="006077D1"/>
    <w:rsid w:val="00633553"/>
    <w:rsid w:val="006449A3"/>
    <w:rsid w:val="00656657"/>
    <w:rsid w:val="00666159"/>
    <w:rsid w:val="00681920"/>
    <w:rsid w:val="00704FBF"/>
    <w:rsid w:val="00715DDA"/>
    <w:rsid w:val="007372F1"/>
    <w:rsid w:val="007E378F"/>
    <w:rsid w:val="007F1334"/>
    <w:rsid w:val="007F2C63"/>
    <w:rsid w:val="008042D2"/>
    <w:rsid w:val="008054DB"/>
    <w:rsid w:val="00811CA4"/>
    <w:rsid w:val="00902764"/>
    <w:rsid w:val="00943DF7"/>
    <w:rsid w:val="009462A0"/>
    <w:rsid w:val="00974ECB"/>
    <w:rsid w:val="00981090"/>
    <w:rsid w:val="009D488F"/>
    <w:rsid w:val="009E3D7C"/>
    <w:rsid w:val="009F4A13"/>
    <w:rsid w:val="00A331C1"/>
    <w:rsid w:val="00AC3A14"/>
    <w:rsid w:val="00B1016C"/>
    <w:rsid w:val="00B43DBA"/>
    <w:rsid w:val="00B74080"/>
    <w:rsid w:val="00BB1650"/>
    <w:rsid w:val="00BB5D24"/>
    <w:rsid w:val="00BC114B"/>
    <w:rsid w:val="00BD59AB"/>
    <w:rsid w:val="00C246FF"/>
    <w:rsid w:val="00C8538D"/>
    <w:rsid w:val="00C97777"/>
    <w:rsid w:val="00D07B5A"/>
    <w:rsid w:val="00D67E76"/>
    <w:rsid w:val="00D76528"/>
    <w:rsid w:val="00D80F79"/>
    <w:rsid w:val="00D91B97"/>
    <w:rsid w:val="00DE04A4"/>
    <w:rsid w:val="00E0789B"/>
    <w:rsid w:val="00E13056"/>
    <w:rsid w:val="00E4103D"/>
    <w:rsid w:val="00E5541E"/>
    <w:rsid w:val="00F06A0F"/>
    <w:rsid w:val="00F17DA4"/>
    <w:rsid w:val="00F44A6B"/>
    <w:rsid w:val="00F54224"/>
    <w:rsid w:val="00F56E4F"/>
    <w:rsid w:val="00F87A8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before="24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7"/>
  </w:style>
  <w:style w:type="paragraph" w:styleId="Heading2">
    <w:name w:val="heading 2"/>
    <w:basedOn w:val="Normal"/>
    <w:link w:val="Heading2Char"/>
    <w:uiPriority w:val="9"/>
    <w:qFormat/>
    <w:rsid w:val="0019691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unhideWhenUsed/>
    <w:qFormat/>
    <w:rsid w:val="001334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1CC"/>
    <w:rPr>
      <w:color w:val="0000FF"/>
      <w:u w:val="single"/>
    </w:rPr>
  </w:style>
  <w:style w:type="character" w:customStyle="1" w:styleId="Heading2Char">
    <w:name w:val="Heading 2 Char"/>
    <w:basedOn w:val="DefaultParagraphFont"/>
    <w:link w:val="Heading2"/>
    <w:uiPriority w:val="9"/>
    <w:rsid w:val="0019691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19691B"/>
    <w:pPr>
      <w:spacing w:before="100" w:beforeAutospacing="1" w:after="100" w:afterAutospacing="1" w:line="240" w:lineRule="auto"/>
      <w:jc w:val="left"/>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9691B"/>
    <w:rPr>
      <w:b/>
      <w:bCs/>
    </w:rPr>
  </w:style>
  <w:style w:type="paragraph" w:styleId="ListParagraph">
    <w:name w:val="List Paragraph"/>
    <w:basedOn w:val="Normal"/>
    <w:uiPriority w:val="34"/>
    <w:qFormat/>
    <w:rsid w:val="007F2C63"/>
    <w:pPr>
      <w:ind w:left="720"/>
      <w:contextualSpacing/>
    </w:pPr>
  </w:style>
  <w:style w:type="character" w:customStyle="1" w:styleId="Heading3Char">
    <w:name w:val="Heading 3 Char"/>
    <w:basedOn w:val="DefaultParagraphFont"/>
    <w:link w:val="Heading3"/>
    <w:uiPriority w:val="9"/>
    <w:rsid w:val="0013348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8477691">
      <w:bodyDiv w:val="1"/>
      <w:marLeft w:val="0"/>
      <w:marRight w:val="0"/>
      <w:marTop w:val="0"/>
      <w:marBottom w:val="0"/>
      <w:divBdr>
        <w:top w:val="none" w:sz="0" w:space="0" w:color="auto"/>
        <w:left w:val="none" w:sz="0" w:space="0" w:color="auto"/>
        <w:bottom w:val="none" w:sz="0" w:space="0" w:color="auto"/>
        <w:right w:val="none" w:sz="0" w:space="0" w:color="auto"/>
      </w:divBdr>
      <w:divsChild>
        <w:div w:id="1530991811">
          <w:marLeft w:val="0"/>
          <w:marRight w:val="0"/>
          <w:marTop w:val="0"/>
          <w:marBottom w:val="0"/>
          <w:divBdr>
            <w:top w:val="none" w:sz="0" w:space="0" w:color="auto"/>
            <w:left w:val="none" w:sz="0" w:space="0" w:color="auto"/>
            <w:bottom w:val="none" w:sz="0" w:space="0" w:color="auto"/>
            <w:right w:val="none" w:sz="0" w:space="0" w:color="auto"/>
          </w:divBdr>
        </w:div>
      </w:divsChild>
    </w:div>
    <w:div w:id="46147467">
      <w:bodyDiv w:val="1"/>
      <w:marLeft w:val="0"/>
      <w:marRight w:val="0"/>
      <w:marTop w:val="0"/>
      <w:marBottom w:val="0"/>
      <w:divBdr>
        <w:top w:val="none" w:sz="0" w:space="0" w:color="auto"/>
        <w:left w:val="none" w:sz="0" w:space="0" w:color="auto"/>
        <w:bottom w:val="none" w:sz="0" w:space="0" w:color="auto"/>
        <w:right w:val="none" w:sz="0" w:space="0" w:color="auto"/>
      </w:divBdr>
    </w:div>
    <w:div w:id="222714251">
      <w:bodyDiv w:val="1"/>
      <w:marLeft w:val="0"/>
      <w:marRight w:val="0"/>
      <w:marTop w:val="0"/>
      <w:marBottom w:val="0"/>
      <w:divBdr>
        <w:top w:val="none" w:sz="0" w:space="0" w:color="auto"/>
        <w:left w:val="none" w:sz="0" w:space="0" w:color="auto"/>
        <w:bottom w:val="none" w:sz="0" w:space="0" w:color="auto"/>
        <w:right w:val="none" w:sz="0" w:space="0" w:color="auto"/>
      </w:divBdr>
      <w:divsChild>
        <w:div w:id="1279877491">
          <w:marLeft w:val="480"/>
          <w:marRight w:val="0"/>
          <w:marTop w:val="0"/>
          <w:marBottom w:val="0"/>
          <w:divBdr>
            <w:top w:val="none" w:sz="0" w:space="0" w:color="auto"/>
            <w:left w:val="none" w:sz="0" w:space="0" w:color="auto"/>
            <w:bottom w:val="none" w:sz="0" w:space="0" w:color="auto"/>
            <w:right w:val="none" w:sz="0" w:space="0" w:color="auto"/>
          </w:divBdr>
        </w:div>
      </w:divsChild>
    </w:div>
    <w:div w:id="262303945">
      <w:bodyDiv w:val="1"/>
      <w:marLeft w:val="0"/>
      <w:marRight w:val="0"/>
      <w:marTop w:val="0"/>
      <w:marBottom w:val="0"/>
      <w:divBdr>
        <w:top w:val="none" w:sz="0" w:space="0" w:color="auto"/>
        <w:left w:val="none" w:sz="0" w:space="0" w:color="auto"/>
        <w:bottom w:val="none" w:sz="0" w:space="0" w:color="auto"/>
        <w:right w:val="none" w:sz="0" w:space="0" w:color="auto"/>
      </w:divBdr>
    </w:div>
    <w:div w:id="282999055">
      <w:bodyDiv w:val="1"/>
      <w:marLeft w:val="0"/>
      <w:marRight w:val="0"/>
      <w:marTop w:val="0"/>
      <w:marBottom w:val="0"/>
      <w:divBdr>
        <w:top w:val="none" w:sz="0" w:space="0" w:color="auto"/>
        <w:left w:val="none" w:sz="0" w:space="0" w:color="auto"/>
        <w:bottom w:val="none" w:sz="0" w:space="0" w:color="auto"/>
        <w:right w:val="none" w:sz="0" w:space="0" w:color="auto"/>
      </w:divBdr>
    </w:div>
    <w:div w:id="378745167">
      <w:bodyDiv w:val="1"/>
      <w:marLeft w:val="0"/>
      <w:marRight w:val="0"/>
      <w:marTop w:val="0"/>
      <w:marBottom w:val="0"/>
      <w:divBdr>
        <w:top w:val="none" w:sz="0" w:space="0" w:color="auto"/>
        <w:left w:val="none" w:sz="0" w:space="0" w:color="auto"/>
        <w:bottom w:val="none" w:sz="0" w:space="0" w:color="auto"/>
        <w:right w:val="none" w:sz="0" w:space="0" w:color="auto"/>
      </w:divBdr>
    </w:div>
    <w:div w:id="412047413">
      <w:bodyDiv w:val="1"/>
      <w:marLeft w:val="0"/>
      <w:marRight w:val="0"/>
      <w:marTop w:val="0"/>
      <w:marBottom w:val="0"/>
      <w:divBdr>
        <w:top w:val="none" w:sz="0" w:space="0" w:color="auto"/>
        <w:left w:val="none" w:sz="0" w:space="0" w:color="auto"/>
        <w:bottom w:val="none" w:sz="0" w:space="0" w:color="auto"/>
        <w:right w:val="none" w:sz="0" w:space="0" w:color="auto"/>
      </w:divBdr>
      <w:divsChild>
        <w:div w:id="381289002">
          <w:marLeft w:val="0"/>
          <w:marRight w:val="0"/>
          <w:marTop w:val="0"/>
          <w:marBottom w:val="0"/>
          <w:divBdr>
            <w:top w:val="none" w:sz="0" w:space="0" w:color="auto"/>
            <w:left w:val="none" w:sz="0" w:space="0" w:color="auto"/>
            <w:bottom w:val="none" w:sz="0" w:space="0" w:color="auto"/>
            <w:right w:val="none" w:sz="0" w:space="0" w:color="auto"/>
          </w:divBdr>
        </w:div>
      </w:divsChild>
    </w:div>
    <w:div w:id="605624576">
      <w:bodyDiv w:val="1"/>
      <w:marLeft w:val="0"/>
      <w:marRight w:val="0"/>
      <w:marTop w:val="0"/>
      <w:marBottom w:val="0"/>
      <w:divBdr>
        <w:top w:val="none" w:sz="0" w:space="0" w:color="auto"/>
        <w:left w:val="none" w:sz="0" w:space="0" w:color="auto"/>
        <w:bottom w:val="none" w:sz="0" w:space="0" w:color="auto"/>
        <w:right w:val="none" w:sz="0" w:space="0" w:color="auto"/>
      </w:divBdr>
      <w:divsChild>
        <w:div w:id="1532495993">
          <w:marLeft w:val="0"/>
          <w:marRight w:val="0"/>
          <w:marTop w:val="0"/>
          <w:marBottom w:val="0"/>
          <w:divBdr>
            <w:top w:val="none" w:sz="0" w:space="0" w:color="auto"/>
            <w:left w:val="none" w:sz="0" w:space="0" w:color="auto"/>
            <w:bottom w:val="none" w:sz="0" w:space="0" w:color="auto"/>
            <w:right w:val="none" w:sz="0" w:space="0" w:color="auto"/>
          </w:divBdr>
        </w:div>
      </w:divsChild>
    </w:div>
    <w:div w:id="622613610">
      <w:bodyDiv w:val="1"/>
      <w:marLeft w:val="0"/>
      <w:marRight w:val="0"/>
      <w:marTop w:val="0"/>
      <w:marBottom w:val="0"/>
      <w:divBdr>
        <w:top w:val="none" w:sz="0" w:space="0" w:color="auto"/>
        <w:left w:val="none" w:sz="0" w:space="0" w:color="auto"/>
        <w:bottom w:val="none" w:sz="0" w:space="0" w:color="auto"/>
        <w:right w:val="none" w:sz="0" w:space="0" w:color="auto"/>
      </w:divBdr>
    </w:div>
    <w:div w:id="642537528">
      <w:bodyDiv w:val="1"/>
      <w:marLeft w:val="0"/>
      <w:marRight w:val="0"/>
      <w:marTop w:val="0"/>
      <w:marBottom w:val="0"/>
      <w:divBdr>
        <w:top w:val="none" w:sz="0" w:space="0" w:color="auto"/>
        <w:left w:val="none" w:sz="0" w:space="0" w:color="auto"/>
        <w:bottom w:val="none" w:sz="0" w:space="0" w:color="auto"/>
        <w:right w:val="none" w:sz="0" w:space="0" w:color="auto"/>
      </w:divBdr>
    </w:div>
    <w:div w:id="657462673">
      <w:bodyDiv w:val="1"/>
      <w:marLeft w:val="0"/>
      <w:marRight w:val="0"/>
      <w:marTop w:val="0"/>
      <w:marBottom w:val="0"/>
      <w:divBdr>
        <w:top w:val="none" w:sz="0" w:space="0" w:color="auto"/>
        <w:left w:val="none" w:sz="0" w:space="0" w:color="auto"/>
        <w:bottom w:val="none" w:sz="0" w:space="0" w:color="auto"/>
        <w:right w:val="none" w:sz="0" w:space="0" w:color="auto"/>
      </w:divBdr>
      <w:divsChild>
        <w:div w:id="1878736958">
          <w:marLeft w:val="0"/>
          <w:marRight w:val="0"/>
          <w:marTop w:val="0"/>
          <w:marBottom w:val="0"/>
          <w:divBdr>
            <w:top w:val="none" w:sz="0" w:space="0" w:color="auto"/>
            <w:left w:val="none" w:sz="0" w:space="0" w:color="auto"/>
            <w:bottom w:val="none" w:sz="0" w:space="0" w:color="auto"/>
            <w:right w:val="none" w:sz="0" w:space="0" w:color="auto"/>
          </w:divBdr>
        </w:div>
      </w:divsChild>
    </w:div>
    <w:div w:id="735057628">
      <w:bodyDiv w:val="1"/>
      <w:marLeft w:val="0"/>
      <w:marRight w:val="0"/>
      <w:marTop w:val="0"/>
      <w:marBottom w:val="0"/>
      <w:divBdr>
        <w:top w:val="none" w:sz="0" w:space="0" w:color="auto"/>
        <w:left w:val="none" w:sz="0" w:space="0" w:color="auto"/>
        <w:bottom w:val="none" w:sz="0" w:space="0" w:color="auto"/>
        <w:right w:val="none" w:sz="0" w:space="0" w:color="auto"/>
      </w:divBdr>
    </w:div>
    <w:div w:id="840202035">
      <w:bodyDiv w:val="1"/>
      <w:marLeft w:val="0"/>
      <w:marRight w:val="0"/>
      <w:marTop w:val="0"/>
      <w:marBottom w:val="0"/>
      <w:divBdr>
        <w:top w:val="none" w:sz="0" w:space="0" w:color="auto"/>
        <w:left w:val="none" w:sz="0" w:space="0" w:color="auto"/>
        <w:bottom w:val="none" w:sz="0" w:space="0" w:color="auto"/>
        <w:right w:val="none" w:sz="0" w:space="0" w:color="auto"/>
      </w:divBdr>
      <w:divsChild>
        <w:div w:id="1973319923">
          <w:marLeft w:val="0"/>
          <w:marRight w:val="0"/>
          <w:marTop w:val="0"/>
          <w:marBottom w:val="0"/>
          <w:divBdr>
            <w:top w:val="none" w:sz="0" w:space="0" w:color="auto"/>
            <w:left w:val="none" w:sz="0" w:space="0" w:color="auto"/>
            <w:bottom w:val="none" w:sz="0" w:space="0" w:color="auto"/>
            <w:right w:val="none" w:sz="0" w:space="0" w:color="auto"/>
          </w:divBdr>
        </w:div>
      </w:divsChild>
    </w:div>
    <w:div w:id="848833412">
      <w:bodyDiv w:val="1"/>
      <w:marLeft w:val="0"/>
      <w:marRight w:val="0"/>
      <w:marTop w:val="0"/>
      <w:marBottom w:val="0"/>
      <w:divBdr>
        <w:top w:val="none" w:sz="0" w:space="0" w:color="auto"/>
        <w:left w:val="none" w:sz="0" w:space="0" w:color="auto"/>
        <w:bottom w:val="none" w:sz="0" w:space="0" w:color="auto"/>
        <w:right w:val="none" w:sz="0" w:space="0" w:color="auto"/>
      </w:divBdr>
    </w:div>
    <w:div w:id="939339501">
      <w:bodyDiv w:val="1"/>
      <w:marLeft w:val="0"/>
      <w:marRight w:val="0"/>
      <w:marTop w:val="0"/>
      <w:marBottom w:val="0"/>
      <w:divBdr>
        <w:top w:val="none" w:sz="0" w:space="0" w:color="auto"/>
        <w:left w:val="none" w:sz="0" w:space="0" w:color="auto"/>
        <w:bottom w:val="none" w:sz="0" w:space="0" w:color="auto"/>
        <w:right w:val="none" w:sz="0" w:space="0" w:color="auto"/>
      </w:divBdr>
    </w:div>
    <w:div w:id="941649504">
      <w:bodyDiv w:val="1"/>
      <w:marLeft w:val="0"/>
      <w:marRight w:val="0"/>
      <w:marTop w:val="0"/>
      <w:marBottom w:val="0"/>
      <w:divBdr>
        <w:top w:val="none" w:sz="0" w:space="0" w:color="auto"/>
        <w:left w:val="none" w:sz="0" w:space="0" w:color="auto"/>
        <w:bottom w:val="none" w:sz="0" w:space="0" w:color="auto"/>
        <w:right w:val="none" w:sz="0" w:space="0" w:color="auto"/>
      </w:divBdr>
      <w:divsChild>
        <w:div w:id="139730627">
          <w:marLeft w:val="0"/>
          <w:marRight w:val="0"/>
          <w:marTop w:val="0"/>
          <w:marBottom w:val="0"/>
          <w:divBdr>
            <w:top w:val="none" w:sz="0" w:space="0" w:color="auto"/>
            <w:left w:val="none" w:sz="0" w:space="0" w:color="auto"/>
            <w:bottom w:val="none" w:sz="0" w:space="0" w:color="auto"/>
            <w:right w:val="none" w:sz="0" w:space="0" w:color="auto"/>
          </w:divBdr>
        </w:div>
      </w:divsChild>
    </w:div>
    <w:div w:id="1045838579">
      <w:bodyDiv w:val="1"/>
      <w:marLeft w:val="0"/>
      <w:marRight w:val="0"/>
      <w:marTop w:val="0"/>
      <w:marBottom w:val="0"/>
      <w:divBdr>
        <w:top w:val="none" w:sz="0" w:space="0" w:color="auto"/>
        <w:left w:val="none" w:sz="0" w:space="0" w:color="auto"/>
        <w:bottom w:val="none" w:sz="0" w:space="0" w:color="auto"/>
        <w:right w:val="none" w:sz="0" w:space="0" w:color="auto"/>
      </w:divBdr>
      <w:divsChild>
        <w:div w:id="1765761212">
          <w:marLeft w:val="0"/>
          <w:marRight w:val="0"/>
          <w:marTop w:val="0"/>
          <w:marBottom w:val="0"/>
          <w:divBdr>
            <w:top w:val="none" w:sz="0" w:space="0" w:color="auto"/>
            <w:left w:val="none" w:sz="0" w:space="0" w:color="auto"/>
            <w:bottom w:val="none" w:sz="0" w:space="0" w:color="auto"/>
            <w:right w:val="none" w:sz="0" w:space="0" w:color="auto"/>
          </w:divBdr>
        </w:div>
      </w:divsChild>
    </w:div>
    <w:div w:id="1094594262">
      <w:bodyDiv w:val="1"/>
      <w:marLeft w:val="0"/>
      <w:marRight w:val="0"/>
      <w:marTop w:val="0"/>
      <w:marBottom w:val="0"/>
      <w:divBdr>
        <w:top w:val="none" w:sz="0" w:space="0" w:color="auto"/>
        <w:left w:val="none" w:sz="0" w:space="0" w:color="auto"/>
        <w:bottom w:val="none" w:sz="0" w:space="0" w:color="auto"/>
        <w:right w:val="none" w:sz="0" w:space="0" w:color="auto"/>
      </w:divBdr>
    </w:div>
    <w:div w:id="1169180471">
      <w:bodyDiv w:val="1"/>
      <w:marLeft w:val="0"/>
      <w:marRight w:val="0"/>
      <w:marTop w:val="0"/>
      <w:marBottom w:val="0"/>
      <w:divBdr>
        <w:top w:val="none" w:sz="0" w:space="0" w:color="auto"/>
        <w:left w:val="none" w:sz="0" w:space="0" w:color="auto"/>
        <w:bottom w:val="none" w:sz="0" w:space="0" w:color="auto"/>
        <w:right w:val="none" w:sz="0" w:space="0" w:color="auto"/>
      </w:divBdr>
      <w:divsChild>
        <w:div w:id="188565544">
          <w:marLeft w:val="0"/>
          <w:marRight w:val="0"/>
          <w:marTop w:val="0"/>
          <w:marBottom w:val="0"/>
          <w:divBdr>
            <w:top w:val="none" w:sz="0" w:space="0" w:color="auto"/>
            <w:left w:val="none" w:sz="0" w:space="0" w:color="auto"/>
            <w:bottom w:val="none" w:sz="0" w:space="0" w:color="auto"/>
            <w:right w:val="none" w:sz="0" w:space="0" w:color="auto"/>
          </w:divBdr>
        </w:div>
      </w:divsChild>
    </w:div>
    <w:div w:id="1185363975">
      <w:bodyDiv w:val="1"/>
      <w:marLeft w:val="0"/>
      <w:marRight w:val="0"/>
      <w:marTop w:val="0"/>
      <w:marBottom w:val="0"/>
      <w:divBdr>
        <w:top w:val="none" w:sz="0" w:space="0" w:color="auto"/>
        <w:left w:val="none" w:sz="0" w:space="0" w:color="auto"/>
        <w:bottom w:val="none" w:sz="0" w:space="0" w:color="auto"/>
        <w:right w:val="none" w:sz="0" w:space="0" w:color="auto"/>
      </w:divBdr>
    </w:div>
    <w:div w:id="1261642223">
      <w:bodyDiv w:val="1"/>
      <w:marLeft w:val="0"/>
      <w:marRight w:val="0"/>
      <w:marTop w:val="0"/>
      <w:marBottom w:val="0"/>
      <w:divBdr>
        <w:top w:val="none" w:sz="0" w:space="0" w:color="auto"/>
        <w:left w:val="none" w:sz="0" w:space="0" w:color="auto"/>
        <w:bottom w:val="none" w:sz="0" w:space="0" w:color="auto"/>
        <w:right w:val="none" w:sz="0" w:space="0" w:color="auto"/>
      </w:divBdr>
    </w:div>
    <w:div w:id="1344359731">
      <w:bodyDiv w:val="1"/>
      <w:marLeft w:val="0"/>
      <w:marRight w:val="0"/>
      <w:marTop w:val="0"/>
      <w:marBottom w:val="0"/>
      <w:divBdr>
        <w:top w:val="none" w:sz="0" w:space="0" w:color="auto"/>
        <w:left w:val="none" w:sz="0" w:space="0" w:color="auto"/>
        <w:bottom w:val="none" w:sz="0" w:space="0" w:color="auto"/>
        <w:right w:val="none" w:sz="0" w:space="0" w:color="auto"/>
      </w:divBdr>
      <w:divsChild>
        <w:div w:id="1876111799">
          <w:marLeft w:val="0"/>
          <w:marRight w:val="0"/>
          <w:marTop w:val="0"/>
          <w:marBottom w:val="0"/>
          <w:divBdr>
            <w:top w:val="none" w:sz="0" w:space="0" w:color="auto"/>
            <w:left w:val="none" w:sz="0" w:space="0" w:color="auto"/>
            <w:bottom w:val="none" w:sz="0" w:space="0" w:color="auto"/>
            <w:right w:val="none" w:sz="0" w:space="0" w:color="auto"/>
          </w:divBdr>
        </w:div>
      </w:divsChild>
    </w:div>
    <w:div w:id="1472016310">
      <w:bodyDiv w:val="1"/>
      <w:marLeft w:val="0"/>
      <w:marRight w:val="0"/>
      <w:marTop w:val="0"/>
      <w:marBottom w:val="0"/>
      <w:divBdr>
        <w:top w:val="none" w:sz="0" w:space="0" w:color="auto"/>
        <w:left w:val="none" w:sz="0" w:space="0" w:color="auto"/>
        <w:bottom w:val="none" w:sz="0" w:space="0" w:color="auto"/>
        <w:right w:val="none" w:sz="0" w:space="0" w:color="auto"/>
      </w:divBdr>
    </w:div>
    <w:div w:id="1475025880">
      <w:bodyDiv w:val="1"/>
      <w:marLeft w:val="0"/>
      <w:marRight w:val="0"/>
      <w:marTop w:val="0"/>
      <w:marBottom w:val="0"/>
      <w:divBdr>
        <w:top w:val="none" w:sz="0" w:space="0" w:color="auto"/>
        <w:left w:val="none" w:sz="0" w:space="0" w:color="auto"/>
        <w:bottom w:val="none" w:sz="0" w:space="0" w:color="auto"/>
        <w:right w:val="none" w:sz="0" w:space="0" w:color="auto"/>
      </w:divBdr>
    </w:div>
    <w:div w:id="164758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4180">
          <w:marLeft w:val="0"/>
          <w:marRight w:val="0"/>
          <w:marTop w:val="0"/>
          <w:marBottom w:val="0"/>
          <w:divBdr>
            <w:top w:val="none" w:sz="0" w:space="0" w:color="auto"/>
            <w:left w:val="none" w:sz="0" w:space="0" w:color="auto"/>
            <w:bottom w:val="none" w:sz="0" w:space="0" w:color="auto"/>
            <w:right w:val="none" w:sz="0" w:space="0" w:color="auto"/>
          </w:divBdr>
        </w:div>
      </w:divsChild>
    </w:div>
    <w:div w:id="1844468680">
      <w:bodyDiv w:val="1"/>
      <w:marLeft w:val="0"/>
      <w:marRight w:val="0"/>
      <w:marTop w:val="0"/>
      <w:marBottom w:val="0"/>
      <w:divBdr>
        <w:top w:val="none" w:sz="0" w:space="0" w:color="auto"/>
        <w:left w:val="none" w:sz="0" w:space="0" w:color="auto"/>
        <w:bottom w:val="none" w:sz="0" w:space="0" w:color="auto"/>
        <w:right w:val="none" w:sz="0" w:space="0" w:color="auto"/>
      </w:divBdr>
    </w:div>
    <w:div w:id="1850831851">
      <w:bodyDiv w:val="1"/>
      <w:marLeft w:val="0"/>
      <w:marRight w:val="0"/>
      <w:marTop w:val="0"/>
      <w:marBottom w:val="0"/>
      <w:divBdr>
        <w:top w:val="none" w:sz="0" w:space="0" w:color="auto"/>
        <w:left w:val="none" w:sz="0" w:space="0" w:color="auto"/>
        <w:bottom w:val="none" w:sz="0" w:space="0" w:color="auto"/>
        <w:right w:val="none" w:sz="0" w:space="0" w:color="auto"/>
      </w:divBdr>
    </w:div>
    <w:div w:id="18894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legal/circulars/apr-2020/additional-relaxations-clarifications-in-relation-to-compliance-with-certain-provisions-of-the-sebi-listing-obligations-and-disclosure-requirements-regulations-2015-lodr-due-to-the-covid-19-_46525.html" TargetMode="External"/><Relationship Id="rId13" Type="http://schemas.openxmlformats.org/officeDocument/2006/relationships/hyperlink" Target="https://www.sebi.gov.in/" TargetMode="External"/><Relationship Id="rId18" Type="http://schemas.openxmlformats.org/officeDocument/2006/relationships/hyperlink" Target="https://www.rbi.org.in/Scripts/BS_FemaNotifications.aspx?Id=11939" TargetMode="External"/><Relationship Id="rId3" Type="http://schemas.openxmlformats.org/officeDocument/2006/relationships/settings" Target="settings.xml"/><Relationship Id="rId21" Type="http://schemas.openxmlformats.org/officeDocument/2006/relationships/hyperlink" Target="https://www.sebi.gov.in/legal/circulars/oct-2019/framework-for-listing-of-commercial-paper_44715.html" TargetMode="External"/><Relationship Id="rId7" Type="http://schemas.openxmlformats.org/officeDocument/2006/relationships/hyperlink" Target="https://www.sebi.gov.in/" TargetMode="External"/><Relationship Id="rId12" Type="http://schemas.openxmlformats.org/officeDocument/2006/relationships/hyperlink" Target="https://www.sebi.gov.in/legal/circulars/apr-2020/relaxations-from-certain-provisions-of-the-sebi-issue-of-capital-and-disclosure-requirements-regulations-2018-in-respect-of-rights-issue_46537.html" TargetMode="External"/><Relationship Id="rId17" Type="http://schemas.openxmlformats.org/officeDocument/2006/relationships/hyperlink" Target="https://www.sebi.gov.in/legal/circulars/jun-2020/clarifications-with-respect-to-circular-dated-february-05-2020-on-disclosure-standards-for-alternative-investment-fund" TargetMode="External"/><Relationship Id="rId2" Type="http://schemas.openxmlformats.org/officeDocument/2006/relationships/styles" Target="styles.xml"/><Relationship Id="rId16" Type="http://schemas.openxmlformats.org/officeDocument/2006/relationships/hyperlink" Target="https://www.sebi.gov.in/legal/regulations/mar-2020/sebi-mutual-funds-amendment-regulations-2020_46259.html" TargetMode="External"/><Relationship Id="rId20" Type="http://schemas.openxmlformats.org/officeDocument/2006/relationships/hyperlink" Target="https://www.sebi.gov.in/legal/regulations/jun-2020/securities-and-exchange-board-of-india-infrastructure-investment-trusts-second-amendment-regulations-2020_46886.html" TargetMode="External"/><Relationship Id="rId1" Type="http://schemas.openxmlformats.org/officeDocument/2006/relationships/numbering" Target="numbering.xml"/><Relationship Id="rId6" Type="http://schemas.openxmlformats.org/officeDocument/2006/relationships/hyperlink" Target="https://www.sebi.gov.in/legal/circulars/apr-2020/relaxation-in-timelines-for-compliance-with-regulatory-requirements-by-trading-members-clearing-members_46539.html" TargetMode="External"/><Relationship Id="rId11" Type="http://schemas.openxmlformats.org/officeDocument/2006/relationships/hyperlink" Target="https://www.sebi.gov.in/" TargetMode="External"/><Relationship Id="rId5" Type="http://schemas.openxmlformats.org/officeDocument/2006/relationships/hyperlink" Target="https://www.sebi.gov.in/legal/circulars/apr-2020/relaxation-in-timelines-for-compliance-with-regulatory-requirements-by-trading-members-clearing-members_46523.html" TargetMode="External"/><Relationship Id="rId15" Type="http://schemas.openxmlformats.org/officeDocument/2006/relationships/hyperlink" Target="https://www.sebi.gov.in/" TargetMode="External"/><Relationship Id="rId23" Type="http://schemas.openxmlformats.org/officeDocument/2006/relationships/theme" Target="theme/theme1.xml"/><Relationship Id="rId10" Type="http://schemas.openxmlformats.org/officeDocument/2006/relationships/hyperlink" Target="https://www.sebi.gov.in/legal/circulars/apr-2020/relaxation-in-relation-to-regulation-44-5-of-the-sebi-listing-obligations-and-disclosure-requirements-regulations-2015-lodr-on-holding-of-annual-general-meeting-agm-by-top-100-listed-entitie-_46552.html" TargetMode="External"/><Relationship Id="rId19" Type="http://schemas.openxmlformats.org/officeDocument/2006/relationships/hyperlink" Target="https://www.sebi.gov.in/legal/circulars/oct-2019/framework-for-issue-of-depository-receipts_44609.html" TargetMode="External"/><Relationship Id="rId4" Type="http://schemas.openxmlformats.org/officeDocument/2006/relationships/webSettings" Target="webSettings.xml"/><Relationship Id="rId9" Type="http://schemas.openxmlformats.org/officeDocument/2006/relationships/hyperlink" Target="https://www.sebi.gov.in/legal/circulars/apr-2020/relaxation-in-relation-to-regulation-44-5-of-the-sebi-listing-obligations-and-disclosure-requirements-regulations-2015-lodr-on-holding-of-annual-general-meeting-agm-by-top-100-listed-entitie-_46552.html" TargetMode="External"/><Relationship Id="rId14" Type="http://schemas.openxmlformats.org/officeDocument/2006/relationships/hyperlink" Target="https://www.sebi.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e0583</dc:creator>
  <cp:lastModifiedBy>ab sinha</cp:lastModifiedBy>
  <cp:revision>2</cp:revision>
  <cp:lastPrinted>2020-02-27T09:35:00Z</cp:lastPrinted>
  <dcterms:created xsi:type="dcterms:W3CDTF">2020-08-14T14:17:00Z</dcterms:created>
  <dcterms:modified xsi:type="dcterms:W3CDTF">2020-08-14T14:17:00Z</dcterms:modified>
</cp:coreProperties>
</file>