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CC" w:rsidRPr="00BA45C3" w:rsidRDefault="00EF50A6" w:rsidP="00EB2E62">
      <w:pPr>
        <w:jc w:val="center"/>
        <w:rPr>
          <w:rFonts w:ascii="Bookman Old Style" w:hAnsi="Bookman Old Style"/>
          <w:b/>
          <w:bCs/>
          <w:iCs/>
          <w:color w:val="002060"/>
          <w:sz w:val="66"/>
          <w:szCs w:val="66"/>
          <w:lang w:val="en-US"/>
        </w:rPr>
      </w:pPr>
      <w:r w:rsidRPr="00BA45C3">
        <w:rPr>
          <w:rFonts w:ascii="Bookman Old Style" w:eastAsia="Calibri" w:hAnsi="Bookman Old Style" w:cs="Times New Roman"/>
          <w:b/>
          <w:bCs/>
          <w:iCs/>
          <w:color w:val="002060"/>
          <w:sz w:val="66"/>
          <w:szCs w:val="66"/>
          <w:lang w:val="en-US"/>
        </w:rPr>
        <w:t xml:space="preserve">CS UPDATE </w:t>
      </w:r>
      <w:r w:rsidR="00EB2E62" w:rsidRPr="00BA45C3">
        <w:rPr>
          <w:rFonts w:ascii="Bookman Old Style" w:eastAsia="Calibri" w:hAnsi="Bookman Old Style" w:cs="Times New Roman"/>
          <w:b/>
          <w:bCs/>
          <w:iCs/>
          <w:color w:val="002060"/>
          <w:sz w:val="66"/>
          <w:szCs w:val="66"/>
          <w:lang w:val="en-US"/>
        </w:rPr>
        <w:t xml:space="preserve">MARCH </w:t>
      </w:r>
      <w:r w:rsidR="00E64D60">
        <w:rPr>
          <w:rFonts w:ascii="Bookman Old Style" w:eastAsia="Calibri" w:hAnsi="Bookman Old Style" w:cs="Times New Roman"/>
          <w:b/>
          <w:bCs/>
          <w:iCs/>
          <w:color w:val="002060"/>
          <w:sz w:val="66"/>
          <w:szCs w:val="66"/>
          <w:lang w:val="en-US"/>
        </w:rPr>
        <w:t>30</w:t>
      </w:r>
      <w:r w:rsidRPr="00BA45C3">
        <w:rPr>
          <w:rFonts w:ascii="Bookman Old Style" w:eastAsia="Calibri" w:hAnsi="Bookman Old Style" w:cs="Times New Roman"/>
          <w:b/>
          <w:bCs/>
          <w:iCs/>
          <w:color w:val="002060"/>
          <w:sz w:val="66"/>
          <w:szCs w:val="66"/>
          <w:lang w:val="en-US"/>
        </w:rPr>
        <w:t>, 201</w:t>
      </w:r>
      <w:r w:rsidRPr="00BA45C3">
        <w:rPr>
          <w:rFonts w:ascii="Bookman Old Style" w:hAnsi="Bookman Old Style"/>
          <w:b/>
          <w:bCs/>
          <w:iCs/>
          <w:color w:val="002060"/>
          <w:sz w:val="66"/>
          <w:szCs w:val="66"/>
          <w:lang w:val="en-US"/>
        </w:rPr>
        <w:t>5</w:t>
      </w:r>
    </w:p>
    <w:p w:rsidR="00140DFE" w:rsidRPr="00D757E5" w:rsidRDefault="00140DFE" w:rsidP="00E72AE4">
      <w:pPr>
        <w:spacing w:before="24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D757E5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Quote of the Day </w:t>
      </w:r>
    </w:p>
    <w:p w:rsidR="005E6F72" w:rsidRPr="008F481D" w:rsidRDefault="00D37BD9" w:rsidP="000B14CA">
      <w:pPr>
        <w:spacing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8F481D">
        <w:rPr>
          <w:rFonts w:ascii="Bookman Old Style" w:hAnsi="Bookman Old Style"/>
          <w:bCs/>
          <w:i/>
          <w:sz w:val="24"/>
          <w:szCs w:val="24"/>
          <w:lang w:val="en-US"/>
        </w:rPr>
        <w:t>“</w:t>
      </w:r>
      <w:r w:rsidR="00007353" w:rsidRPr="00007353">
        <w:rPr>
          <w:rFonts w:ascii="Bookman Old Style" w:hAnsi="Bookman Old Style"/>
          <w:bCs/>
          <w:i/>
          <w:sz w:val="24"/>
          <w:szCs w:val="24"/>
          <w:lang w:val="en-US"/>
        </w:rPr>
        <w:t>Everyone has a right to offend and be offended.</w:t>
      </w:r>
      <w:r w:rsidRPr="008F481D">
        <w:rPr>
          <w:rFonts w:ascii="Bookman Old Style" w:hAnsi="Bookman Old Style"/>
          <w:bCs/>
          <w:i/>
          <w:sz w:val="24"/>
          <w:szCs w:val="24"/>
          <w:lang w:val="en-US"/>
        </w:rPr>
        <w:t>”</w:t>
      </w:r>
    </w:p>
    <w:p w:rsidR="000B14CA" w:rsidRPr="000B14CA" w:rsidRDefault="00007353" w:rsidP="000B14CA">
      <w:pPr>
        <w:pStyle w:val="ListParagraph"/>
        <w:numPr>
          <w:ilvl w:val="0"/>
          <w:numId w:val="10"/>
        </w:numPr>
        <w:spacing w:after="120"/>
        <w:jc w:val="right"/>
        <w:rPr>
          <w:rFonts w:ascii="Bookman Old Style" w:hAnsi="Bookman Old Style"/>
          <w:bCs/>
          <w:sz w:val="24"/>
          <w:szCs w:val="24"/>
          <w:lang w:val="en-US"/>
        </w:rPr>
      </w:pPr>
      <w:proofErr w:type="spellStart"/>
      <w:r w:rsidRPr="00007353">
        <w:rPr>
          <w:rFonts w:ascii="Bookman Old Style" w:hAnsi="Bookman Old Style"/>
          <w:bCs/>
          <w:sz w:val="24"/>
          <w:szCs w:val="24"/>
          <w:lang w:val="en-US"/>
        </w:rPr>
        <w:t>Taslima</w:t>
      </w:r>
      <w:proofErr w:type="spellEnd"/>
      <w:r w:rsidRPr="00007353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 w:rsidRPr="00007353">
        <w:rPr>
          <w:rFonts w:ascii="Bookman Old Style" w:hAnsi="Bookman Old Style"/>
          <w:bCs/>
          <w:sz w:val="24"/>
          <w:szCs w:val="24"/>
          <w:lang w:val="en-US"/>
        </w:rPr>
        <w:t>Nasrin</w:t>
      </w:r>
      <w:proofErr w:type="spellEnd"/>
    </w:p>
    <w:p w:rsidR="00CD3930" w:rsidRPr="00D757E5" w:rsidRDefault="00CD3930" w:rsidP="005E6F72">
      <w:pPr>
        <w:spacing w:before="360" w:after="24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D757E5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Regulatory Update</w:t>
      </w:r>
    </w:p>
    <w:p w:rsidR="008C4735" w:rsidRDefault="008C4735" w:rsidP="002F3819">
      <w:pPr>
        <w:spacing w:before="120" w:after="120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i/>
          <w:sz w:val="24"/>
          <w:szCs w:val="24"/>
          <w:lang w:val="en-US"/>
        </w:rPr>
        <w:t>Ministry of Corporate Affairs (MCA)</w:t>
      </w:r>
    </w:p>
    <w:p w:rsidR="008C4735" w:rsidRPr="008536EB" w:rsidRDefault="008C4735" w:rsidP="008536EB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8536EB">
        <w:rPr>
          <w:rFonts w:ascii="Bookman Old Style" w:hAnsi="Bookman Old Style"/>
          <w:bCs/>
          <w:i/>
          <w:sz w:val="24"/>
          <w:szCs w:val="24"/>
          <w:lang w:val="en-US"/>
        </w:rPr>
        <w:t>M</w:t>
      </w:r>
      <w:r w:rsidR="008536EB" w:rsidRPr="008536EB">
        <w:rPr>
          <w:rFonts w:ascii="Bookman Old Style" w:hAnsi="Bookman Old Style"/>
          <w:bCs/>
          <w:i/>
          <w:sz w:val="24"/>
          <w:szCs w:val="24"/>
          <w:lang w:val="en-US"/>
        </w:rPr>
        <w:t xml:space="preserve">CA </w:t>
      </w:r>
      <w:r w:rsidRPr="008536EB">
        <w:rPr>
          <w:rFonts w:ascii="Bookman Old Style" w:hAnsi="Bookman Old Style"/>
          <w:bCs/>
          <w:i/>
          <w:sz w:val="24"/>
          <w:szCs w:val="24"/>
          <w:lang w:val="en-US"/>
        </w:rPr>
        <w:t xml:space="preserve">has issued notification relating to Appointment of Registrar of Companies as adjudicating officers for the purposes of </w:t>
      </w:r>
      <w:r w:rsidR="008536EB" w:rsidRPr="008536EB">
        <w:rPr>
          <w:rFonts w:ascii="Bookman Old Style" w:hAnsi="Bookman Old Style"/>
          <w:bCs/>
          <w:i/>
          <w:sz w:val="24"/>
          <w:szCs w:val="24"/>
          <w:lang w:val="en-US"/>
        </w:rPr>
        <w:t xml:space="preserve">the Companies </w:t>
      </w:r>
      <w:r w:rsidRPr="008536EB">
        <w:rPr>
          <w:rFonts w:ascii="Bookman Old Style" w:hAnsi="Bookman Old Style"/>
          <w:bCs/>
          <w:i/>
          <w:sz w:val="24"/>
          <w:szCs w:val="24"/>
          <w:lang w:val="en-US"/>
        </w:rPr>
        <w:t>Act</w:t>
      </w:r>
      <w:r w:rsidR="008536EB" w:rsidRPr="008536EB">
        <w:rPr>
          <w:rFonts w:ascii="Bookman Old Style" w:hAnsi="Bookman Old Style"/>
          <w:bCs/>
          <w:i/>
          <w:sz w:val="24"/>
          <w:szCs w:val="24"/>
          <w:lang w:val="en-US"/>
        </w:rPr>
        <w:t>, 2013.</w:t>
      </w:r>
      <w:r w:rsidR="008536EB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5" w:history="1">
        <w:r w:rsidR="008536EB" w:rsidRPr="008536EB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8C4735" w:rsidRDefault="008C4735" w:rsidP="002F3819">
      <w:pPr>
        <w:spacing w:before="120" w:after="120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</w:p>
    <w:p w:rsidR="008536EB" w:rsidRDefault="008536EB" w:rsidP="002F3819">
      <w:pPr>
        <w:spacing w:before="120" w:after="120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i/>
          <w:sz w:val="24"/>
          <w:szCs w:val="24"/>
          <w:lang w:val="en-US"/>
        </w:rPr>
        <w:t xml:space="preserve">Ministry of </w:t>
      </w:r>
      <w:r w:rsidR="00CF04DC">
        <w:rPr>
          <w:rFonts w:ascii="Bookman Old Style" w:hAnsi="Bookman Old Style"/>
          <w:b/>
          <w:bCs/>
          <w:i/>
          <w:sz w:val="24"/>
          <w:szCs w:val="24"/>
          <w:lang w:val="en-US"/>
        </w:rPr>
        <w:t>Law and Justice</w:t>
      </w:r>
    </w:p>
    <w:p w:rsidR="008536EB" w:rsidRPr="008536EB" w:rsidRDefault="008536EB" w:rsidP="002F3819">
      <w:pPr>
        <w:spacing w:before="120" w:after="120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8536EB">
        <w:rPr>
          <w:rFonts w:ascii="Bookman Old Style" w:hAnsi="Bookman Old Style"/>
          <w:bCs/>
          <w:i/>
          <w:sz w:val="24"/>
          <w:szCs w:val="24"/>
          <w:lang w:val="en-US"/>
        </w:rPr>
        <w:t>The Citizenship (Amendment) Act, 2015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received the assent of the President and published in Gazette of India, Extraordinary. For details </w:t>
      </w:r>
      <w:hyperlink r:id="rId6" w:history="1">
        <w:r w:rsidRPr="008536EB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</w:t>
        </w:r>
        <w:r w:rsidRPr="008536EB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 xml:space="preserve"> </w:t>
        </w:r>
        <w:r w:rsidRPr="008536EB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here</w:t>
        </w:r>
      </w:hyperlink>
    </w:p>
    <w:p w:rsidR="008536EB" w:rsidRDefault="008536EB" w:rsidP="002F3819">
      <w:pPr>
        <w:spacing w:before="120" w:after="120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</w:p>
    <w:p w:rsidR="006977E6" w:rsidRDefault="006977E6" w:rsidP="002F3819">
      <w:pPr>
        <w:spacing w:before="120" w:after="120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i/>
          <w:sz w:val="24"/>
          <w:szCs w:val="24"/>
          <w:lang w:val="en-US"/>
        </w:rPr>
        <w:t>Securities and Exchange Board of India (SEBI)</w:t>
      </w:r>
    </w:p>
    <w:p w:rsidR="006977E6" w:rsidRPr="006977E6" w:rsidRDefault="00E736D4" w:rsidP="00E736D4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E736D4">
        <w:rPr>
          <w:rFonts w:ascii="Bookman Old Style" w:hAnsi="Bookman Old Style"/>
          <w:bCs/>
          <w:i/>
          <w:sz w:val="24"/>
          <w:szCs w:val="24"/>
          <w:lang w:val="en-US"/>
        </w:rPr>
        <w:t>Securities and Exchange Board of India (International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E736D4">
        <w:rPr>
          <w:rFonts w:ascii="Bookman Old Style" w:hAnsi="Bookman Old Style"/>
          <w:bCs/>
          <w:i/>
          <w:sz w:val="24"/>
          <w:szCs w:val="24"/>
          <w:lang w:val="en-US"/>
        </w:rPr>
        <w:t xml:space="preserve">Financial Services </w:t>
      </w:r>
      <w:proofErr w:type="spellStart"/>
      <w:r w:rsidRPr="00E736D4">
        <w:rPr>
          <w:rFonts w:ascii="Bookman Old Style" w:hAnsi="Bookman Old Style"/>
          <w:bCs/>
          <w:i/>
          <w:sz w:val="24"/>
          <w:szCs w:val="24"/>
          <w:lang w:val="en-US"/>
        </w:rPr>
        <w:t>Centres</w:t>
      </w:r>
      <w:proofErr w:type="spellEnd"/>
      <w:r w:rsidRPr="00E736D4">
        <w:rPr>
          <w:rFonts w:ascii="Bookman Old Style" w:hAnsi="Bookman Old Style"/>
          <w:bCs/>
          <w:i/>
          <w:sz w:val="24"/>
          <w:szCs w:val="24"/>
          <w:lang w:val="en-US"/>
        </w:rPr>
        <w:t>) Guidelines, 2015</w:t>
      </w:r>
      <w:r w:rsidR="00D77946">
        <w:rPr>
          <w:rFonts w:ascii="Bookman Old Style" w:hAnsi="Bookman Old Style"/>
          <w:bCs/>
          <w:i/>
          <w:sz w:val="24"/>
          <w:szCs w:val="24"/>
          <w:lang w:val="en-US"/>
        </w:rPr>
        <w:t xml:space="preserve">For details </w:t>
      </w:r>
      <w:hyperlink r:id="rId7" w:history="1">
        <w:r w:rsidR="00D77946" w:rsidRPr="00D07031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</w:t>
        </w:r>
        <w:r w:rsidR="00D77946" w:rsidRPr="00D07031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</w:t>
        </w:r>
        <w:r w:rsidR="00D77946" w:rsidRPr="00D07031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k here</w:t>
        </w:r>
      </w:hyperlink>
    </w:p>
    <w:p w:rsidR="006977E6" w:rsidRDefault="006977E6" w:rsidP="00211BB7">
      <w:pPr>
        <w:spacing w:after="120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</w:p>
    <w:p w:rsidR="00D07031" w:rsidRPr="00D07031" w:rsidRDefault="00D07031" w:rsidP="00D07031">
      <w:pPr>
        <w:spacing w:after="120"/>
        <w:jc w:val="both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  <w:r w:rsidRPr="00D07031">
        <w:rPr>
          <w:rFonts w:ascii="Bookman Old Style" w:hAnsi="Bookman Old Style"/>
          <w:b/>
          <w:bCs/>
          <w:i/>
          <w:sz w:val="24"/>
          <w:szCs w:val="24"/>
          <w:lang w:val="en-US"/>
        </w:rPr>
        <w:t>Central Board of Direct Taxes</w:t>
      </w:r>
      <w:r>
        <w:rPr>
          <w:rFonts w:ascii="Bookman Old Style" w:hAnsi="Bookman Old Style"/>
          <w:b/>
          <w:bCs/>
          <w:i/>
          <w:sz w:val="24"/>
          <w:szCs w:val="24"/>
          <w:lang w:val="en-US"/>
        </w:rPr>
        <w:t xml:space="preserve"> (CBDT)</w:t>
      </w:r>
    </w:p>
    <w:p w:rsidR="00D07031" w:rsidRPr="008536EB" w:rsidRDefault="00D07031" w:rsidP="008536EB">
      <w:pPr>
        <w:spacing w:after="24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D07031">
        <w:rPr>
          <w:rFonts w:ascii="Bookman Old Style" w:hAnsi="Bookman Old Style"/>
          <w:bCs/>
          <w:i/>
          <w:sz w:val="24"/>
          <w:szCs w:val="24"/>
          <w:lang w:val="en-US"/>
        </w:rPr>
        <w:t xml:space="preserve">CBDT </w:t>
      </w:r>
      <w:r w:rsidR="008536EB">
        <w:rPr>
          <w:rFonts w:ascii="Bookman Old Style" w:hAnsi="Bookman Old Style"/>
          <w:bCs/>
          <w:i/>
          <w:sz w:val="24"/>
          <w:szCs w:val="24"/>
          <w:lang w:val="en-US"/>
        </w:rPr>
        <w:t>issued c</w:t>
      </w:r>
      <w:r w:rsidR="008536EB" w:rsidRPr="008536EB">
        <w:rPr>
          <w:rFonts w:ascii="Bookman Old Style" w:hAnsi="Bookman Old Style"/>
          <w:bCs/>
          <w:i/>
          <w:sz w:val="24"/>
          <w:szCs w:val="24"/>
          <w:lang w:val="en-US"/>
        </w:rPr>
        <w:t>larification regarding Explanation 5 to clause (</w:t>
      </w:r>
      <w:proofErr w:type="spellStart"/>
      <w:r w:rsidR="008536EB" w:rsidRPr="008536EB">
        <w:rPr>
          <w:rFonts w:ascii="Bookman Old Style" w:hAnsi="Bookman Old Style"/>
          <w:bCs/>
          <w:i/>
          <w:sz w:val="24"/>
          <w:szCs w:val="24"/>
          <w:lang w:val="en-US"/>
        </w:rPr>
        <w:t>i</w:t>
      </w:r>
      <w:proofErr w:type="spellEnd"/>
      <w:r w:rsidR="008536EB" w:rsidRPr="008536EB">
        <w:rPr>
          <w:rFonts w:ascii="Bookman Old Style" w:hAnsi="Bookman Old Style"/>
          <w:bCs/>
          <w:i/>
          <w:sz w:val="24"/>
          <w:szCs w:val="24"/>
          <w:lang w:val="en-US"/>
        </w:rPr>
        <w:t>) of sub-section (l) of section</w:t>
      </w:r>
      <w:r w:rsidR="008536EB">
        <w:rPr>
          <w:rFonts w:ascii="Bookman Old Style" w:hAnsi="Bookman Old Style"/>
          <w:bCs/>
          <w:i/>
          <w:sz w:val="24"/>
          <w:szCs w:val="24"/>
          <w:lang w:val="en-US"/>
        </w:rPr>
        <w:t xml:space="preserve"> 9 of Income-tax Act, l961relating to Income deemed to accrue or arise in India.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For details, </w:t>
      </w:r>
      <w:hyperlink r:id="rId8" w:history="1">
        <w:r w:rsidRPr="00D07031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</w:t>
        </w:r>
        <w:r w:rsidRPr="00D07031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i</w:t>
        </w:r>
        <w:r w:rsidRPr="00D07031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ck h</w:t>
        </w:r>
        <w:r w:rsidRPr="00D07031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e</w:t>
        </w:r>
        <w:r w:rsidRPr="00D07031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re</w:t>
        </w:r>
      </w:hyperlink>
    </w:p>
    <w:p w:rsidR="00A6236A" w:rsidRPr="00D07031" w:rsidRDefault="00A6236A" w:rsidP="002F3819">
      <w:pPr>
        <w:spacing w:after="240"/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</w:p>
    <w:p w:rsidR="00E736D4" w:rsidRPr="00E736D4" w:rsidRDefault="00E736D4" w:rsidP="00E736D4">
      <w:pPr>
        <w:spacing w:before="360" w:after="24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E736D4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Views/Comments Solicited</w:t>
      </w:r>
    </w:p>
    <w:p w:rsidR="008630F2" w:rsidRPr="008630F2" w:rsidRDefault="008630F2" w:rsidP="00603EEA">
      <w:pPr>
        <w:spacing w:after="120"/>
        <w:jc w:val="both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  <w:r w:rsidRPr="008630F2">
        <w:rPr>
          <w:rFonts w:ascii="Bookman Old Style" w:hAnsi="Bookman Old Style"/>
          <w:b/>
          <w:bCs/>
          <w:i/>
          <w:sz w:val="24"/>
          <w:szCs w:val="24"/>
          <w:lang w:val="en-US"/>
        </w:rPr>
        <w:t>Telecom Regulatory Authority of India (TRAI)</w:t>
      </w:r>
    </w:p>
    <w:p w:rsidR="008630F2" w:rsidRDefault="008630F2" w:rsidP="00E736D4">
      <w:pPr>
        <w:spacing w:after="24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8630F2">
        <w:rPr>
          <w:rFonts w:ascii="Bookman Old Style" w:hAnsi="Bookman Old Style"/>
          <w:bCs/>
          <w:i/>
          <w:sz w:val="24"/>
          <w:szCs w:val="24"/>
          <w:lang w:val="en-US"/>
        </w:rPr>
        <w:t xml:space="preserve">TRAI </w:t>
      </w:r>
      <w:r w:rsidR="00E736D4">
        <w:rPr>
          <w:rFonts w:ascii="Bookman Old Style" w:hAnsi="Bookman Old Style"/>
          <w:bCs/>
          <w:i/>
          <w:sz w:val="24"/>
          <w:szCs w:val="24"/>
          <w:lang w:val="en-US"/>
        </w:rPr>
        <w:t>released a C</w:t>
      </w:r>
      <w:r w:rsidR="00E736D4" w:rsidRPr="00E736D4">
        <w:rPr>
          <w:rFonts w:ascii="Bookman Old Style" w:hAnsi="Bookman Old Style"/>
          <w:bCs/>
          <w:i/>
          <w:sz w:val="24"/>
          <w:szCs w:val="24"/>
          <w:lang w:val="en-US"/>
        </w:rPr>
        <w:t>onsultation Paper</w:t>
      </w:r>
      <w:r w:rsidR="00E736D4">
        <w:rPr>
          <w:rFonts w:ascii="Bookman Old Style" w:hAnsi="Bookman Old Style"/>
          <w:bCs/>
          <w:i/>
          <w:sz w:val="24"/>
          <w:szCs w:val="24"/>
          <w:lang w:val="en-US"/>
        </w:rPr>
        <w:t xml:space="preserve"> o</w:t>
      </w:r>
      <w:r w:rsidR="00E736D4" w:rsidRPr="00E736D4">
        <w:rPr>
          <w:rFonts w:ascii="Bookman Old Style" w:hAnsi="Bookman Old Style"/>
          <w:bCs/>
          <w:i/>
          <w:sz w:val="24"/>
          <w:szCs w:val="24"/>
          <w:lang w:val="en-US"/>
        </w:rPr>
        <w:t>n</w:t>
      </w:r>
      <w:r w:rsidR="00E736D4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="00E736D4" w:rsidRPr="00E736D4">
        <w:rPr>
          <w:rFonts w:ascii="Bookman Old Style" w:hAnsi="Bookman Old Style"/>
          <w:bCs/>
          <w:i/>
          <w:sz w:val="24"/>
          <w:szCs w:val="24"/>
          <w:lang w:val="en-US"/>
        </w:rPr>
        <w:t>Regulatory Framework for Over-the-top (OTT) services</w:t>
      </w:r>
      <w:r w:rsidRPr="008630F2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="00E736D4" w:rsidRPr="00E736D4">
        <w:rPr>
          <w:rFonts w:ascii="Bookman Old Style" w:hAnsi="Bookman Old Style"/>
          <w:bCs/>
          <w:i/>
          <w:sz w:val="24"/>
          <w:szCs w:val="24"/>
          <w:lang w:val="en-US"/>
        </w:rPr>
        <w:t>Stakeholders are requested to send their comments</w:t>
      </w:r>
      <w:r w:rsidR="00E736D4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="00E736D4" w:rsidRPr="00E736D4">
        <w:rPr>
          <w:rFonts w:ascii="Bookman Old Style" w:hAnsi="Bookman Old Style"/>
          <w:bCs/>
          <w:i/>
          <w:sz w:val="24"/>
          <w:szCs w:val="24"/>
          <w:lang w:val="en-US"/>
        </w:rPr>
        <w:t>preferably in electronic form by 24th April, 2015 and</w:t>
      </w:r>
      <w:r w:rsidR="00E736D4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="00E736D4" w:rsidRPr="00E736D4">
        <w:rPr>
          <w:rFonts w:ascii="Bookman Old Style" w:hAnsi="Bookman Old Style"/>
          <w:bCs/>
          <w:i/>
          <w:sz w:val="24"/>
          <w:szCs w:val="24"/>
          <w:lang w:val="en-US"/>
        </w:rPr>
        <w:t>counter comments by 8th May 2015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For details, </w:t>
      </w:r>
      <w:hyperlink r:id="rId9" w:history="1">
        <w:r w:rsidRPr="008630F2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</w:t>
        </w:r>
        <w:r w:rsidRPr="008630F2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k</w:t>
        </w:r>
        <w:r w:rsidRPr="008630F2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 xml:space="preserve"> here</w:t>
        </w:r>
      </w:hyperlink>
    </w:p>
    <w:p w:rsidR="008630F2" w:rsidRPr="0008190B" w:rsidRDefault="0008190B" w:rsidP="002F3819">
      <w:pPr>
        <w:spacing w:after="240"/>
        <w:jc w:val="both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  <w:r w:rsidRPr="0008190B">
        <w:rPr>
          <w:rFonts w:ascii="Bookman Old Style" w:hAnsi="Bookman Old Style"/>
          <w:b/>
          <w:bCs/>
          <w:i/>
          <w:sz w:val="24"/>
          <w:szCs w:val="24"/>
          <w:lang w:val="en-US"/>
        </w:rPr>
        <w:t>Reserve Bank of India (RBI)</w:t>
      </w:r>
    </w:p>
    <w:p w:rsidR="0008190B" w:rsidRPr="002F3819" w:rsidRDefault="0008190B" w:rsidP="002F3819">
      <w:pPr>
        <w:spacing w:after="24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RBI </w:t>
      </w:r>
      <w:r w:rsidRPr="0008190B">
        <w:rPr>
          <w:rFonts w:ascii="Bookman Old Style" w:hAnsi="Bookman Old Style"/>
          <w:bCs/>
          <w:i/>
          <w:sz w:val="24"/>
          <w:szCs w:val="24"/>
          <w:lang w:val="en-US"/>
        </w:rPr>
        <w:t>Discussion Paper on Large Exposures Framework and Enhancing Credit Supply through Market Mechanism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0" w:history="1">
        <w:r w:rsidRPr="0008190B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</w:t>
        </w:r>
        <w:r w:rsidRPr="0008190B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</w:t>
        </w:r>
        <w:r w:rsidRPr="0008190B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k</w:t>
        </w:r>
        <w:r w:rsidRPr="0008190B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 xml:space="preserve"> here</w:t>
        </w:r>
      </w:hyperlink>
    </w:p>
    <w:p w:rsidR="00F97188" w:rsidRDefault="00F97188" w:rsidP="00493731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493731" w:rsidRPr="00367137" w:rsidRDefault="00493731" w:rsidP="00493731">
      <w:pPr>
        <w:spacing w:before="120" w:after="120"/>
        <w:rPr>
          <w:rFonts w:ascii="Bookman Old Style" w:hAnsi="Bookman Old Style"/>
          <w:color w:val="984806" w:themeColor="accent6" w:themeShade="80"/>
          <w:sz w:val="30"/>
          <w:szCs w:val="30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Legal Term of the Day</w:t>
      </w:r>
      <w:r w:rsidRPr="00367137">
        <w:rPr>
          <w:rFonts w:ascii="Bookman Old Style" w:hAnsi="Bookman Old Style"/>
          <w:color w:val="984806" w:themeColor="accent6" w:themeShade="80"/>
          <w:sz w:val="30"/>
          <w:szCs w:val="30"/>
        </w:rPr>
        <w:t xml:space="preserve"> </w:t>
      </w:r>
    </w:p>
    <w:p w:rsidR="00493731" w:rsidRPr="00E8414D" w:rsidRDefault="00493731" w:rsidP="00493731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E8414D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“</w:t>
      </w:r>
      <w:r w:rsidR="00007353" w:rsidRPr="00007353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Dona </w:t>
      </w:r>
      <w:proofErr w:type="spellStart"/>
      <w:r w:rsidR="00007353" w:rsidRPr="00007353">
        <w:rPr>
          <w:rFonts w:ascii="Bookman Old Style" w:hAnsi="Bookman Old Style"/>
          <w:b/>
          <w:bCs/>
          <w:i/>
          <w:iCs/>
          <w:sz w:val="24"/>
          <w:szCs w:val="24"/>
        </w:rPr>
        <w:t>clandestina</w:t>
      </w:r>
      <w:proofErr w:type="spellEnd"/>
      <w:r w:rsidR="00007353" w:rsidRPr="00007353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007353" w:rsidRPr="00007353">
        <w:rPr>
          <w:rFonts w:ascii="Bookman Old Style" w:hAnsi="Bookman Old Style"/>
          <w:b/>
          <w:bCs/>
          <w:i/>
          <w:iCs/>
          <w:sz w:val="24"/>
          <w:szCs w:val="24"/>
        </w:rPr>
        <w:t>sunt</w:t>
      </w:r>
      <w:proofErr w:type="spellEnd"/>
      <w:r w:rsidR="00007353" w:rsidRPr="00007353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007353" w:rsidRPr="00007353">
        <w:rPr>
          <w:rFonts w:ascii="Bookman Old Style" w:hAnsi="Bookman Old Style"/>
          <w:b/>
          <w:bCs/>
          <w:i/>
          <w:iCs/>
          <w:sz w:val="24"/>
          <w:szCs w:val="24"/>
        </w:rPr>
        <w:t>semper</w:t>
      </w:r>
      <w:proofErr w:type="spellEnd"/>
      <w:r w:rsidR="00007353" w:rsidRPr="00007353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007353" w:rsidRPr="00007353">
        <w:rPr>
          <w:rFonts w:ascii="Bookman Old Style" w:hAnsi="Bookman Old Style"/>
          <w:b/>
          <w:bCs/>
          <w:i/>
          <w:iCs/>
          <w:sz w:val="24"/>
          <w:szCs w:val="24"/>
        </w:rPr>
        <w:t>suspiciosa</w:t>
      </w:r>
      <w:proofErr w:type="spellEnd"/>
      <w:r w:rsidRPr="00E8414D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”</w:t>
      </w:r>
      <w:r w:rsidRPr="00E8414D">
        <w:rPr>
          <w:rFonts w:ascii="Bookman Old Style" w:hAnsi="Bookman Old Style"/>
          <w:i/>
          <w:iCs/>
          <w:sz w:val="24"/>
          <w:szCs w:val="24"/>
        </w:rPr>
        <w:t xml:space="preserve"> </w:t>
      </w:r>
    </w:p>
    <w:p w:rsidR="00493731" w:rsidRDefault="00007353" w:rsidP="00990DC0">
      <w:pPr>
        <w:spacing w:before="120" w:after="240"/>
        <w:rPr>
          <w:rFonts w:ascii="Bookman Old Style" w:hAnsi="Bookman Old Style"/>
          <w:b/>
          <w:bCs/>
          <w:sz w:val="30"/>
          <w:szCs w:val="30"/>
          <w:lang w:val="en-US"/>
        </w:rPr>
      </w:pPr>
      <w:r w:rsidRPr="00007353">
        <w:rPr>
          <w:rFonts w:ascii="Bookman Old Style" w:hAnsi="Bookman Old Style"/>
          <w:sz w:val="24"/>
          <w:szCs w:val="24"/>
        </w:rPr>
        <w:t>Clandestine gifts are always suspicious.</w:t>
      </w:r>
    </w:p>
    <w:p w:rsidR="00571FA7" w:rsidRDefault="00571FA7" w:rsidP="00493731">
      <w:pPr>
        <w:spacing w:before="24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493731" w:rsidRPr="00367137" w:rsidRDefault="00493731" w:rsidP="00493731">
      <w:pPr>
        <w:spacing w:before="24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Market Update 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at </w:t>
      </w:r>
      <w:r w:rsidR="00206AC0"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1</w:t>
      </w:r>
      <w:r w:rsidR="00CF04DC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0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.</w:t>
      </w:r>
      <w:r w:rsidR="005B140A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2</w:t>
      </w:r>
      <w:r w:rsidR="00CF04DC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7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119"/>
        <w:gridCol w:w="2210"/>
      </w:tblGrid>
      <w:tr w:rsidR="00493731" w:rsidTr="00551433">
        <w:tc>
          <w:tcPr>
            <w:tcW w:w="2802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SENSEX</w:t>
            </w:r>
          </w:p>
          <w:p w:rsidR="00493731" w:rsidRPr="00DF0624" w:rsidRDefault="00493731" w:rsidP="00CF04D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</w:t>
            </w:r>
            <w:r w:rsidR="005B140A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7</w:t>
            </w:r>
            <w:r w:rsidR="00CF04DC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699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CF04DC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19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(</w:t>
            </w:r>
            <w:r w:rsidR="00CF04DC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+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</w:t>
            </w:r>
            <w:r w:rsidR="005B140A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</w:t>
            </w:r>
            <w:r w:rsidR="00CF04DC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40</w:t>
            </w:r>
            <w:r w:rsidR="005B140A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CF04DC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55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NIFTY</w:t>
            </w:r>
          </w:p>
          <w:p w:rsidR="00493731" w:rsidRPr="00493731" w:rsidRDefault="00493731" w:rsidP="00CF04D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8</w:t>
            </w:r>
            <w:r w:rsidR="005B140A">
              <w:rPr>
                <w:rFonts w:ascii="Bookman Old Style" w:hAnsi="Bookman Old Style"/>
                <w:bCs/>
                <w:sz w:val="24"/>
                <w:szCs w:val="24"/>
              </w:rPr>
              <w:t>4</w:t>
            </w:r>
            <w:r w:rsidR="00CF04DC">
              <w:rPr>
                <w:rFonts w:ascii="Bookman Old Style" w:hAnsi="Bookman Old Style"/>
                <w:bCs/>
                <w:sz w:val="24"/>
                <w:szCs w:val="24"/>
              </w:rPr>
              <w:t>03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CF04DC">
              <w:rPr>
                <w:rFonts w:ascii="Bookman Old Style" w:hAnsi="Bookman Old Style"/>
                <w:bCs/>
                <w:sz w:val="24"/>
                <w:szCs w:val="24"/>
              </w:rPr>
              <w:t>3</w:t>
            </w:r>
            <w:r w:rsidR="005B140A">
              <w:rPr>
                <w:rFonts w:ascii="Bookman Old Style" w:hAnsi="Bookman Old Style"/>
                <w:bCs/>
                <w:sz w:val="24"/>
                <w:szCs w:val="24"/>
              </w:rPr>
              <w:t>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CF04DC">
              <w:rPr>
                <w:rFonts w:ascii="Bookman Old Style" w:hAnsi="Bookman Old Style"/>
                <w:bCs/>
                <w:sz w:val="24"/>
                <w:szCs w:val="24"/>
              </w:rPr>
              <w:t>+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CF04DC">
              <w:rPr>
                <w:rFonts w:ascii="Bookman Old Style" w:hAnsi="Bookman Old Style"/>
                <w:bCs/>
                <w:sz w:val="24"/>
                <w:szCs w:val="24"/>
              </w:rPr>
              <w:t>61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CF04DC">
              <w:rPr>
                <w:rFonts w:ascii="Bookman Old Style" w:hAnsi="Bookman Old Style"/>
                <w:bCs/>
                <w:sz w:val="24"/>
                <w:szCs w:val="24"/>
              </w:rPr>
              <w:t>9</w:t>
            </w:r>
            <w:r w:rsidR="007F107B">
              <w:rPr>
                <w:rFonts w:ascii="Bookman Old Style" w:hAnsi="Bookman Old Style"/>
                <w:bCs/>
                <w:sz w:val="24"/>
                <w:szCs w:val="24"/>
              </w:rPr>
              <w:t>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3119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GOLD (MCX) (Rs/10g.)</w:t>
            </w:r>
          </w:p>
          <w:p w:rsidR="00493731" w:rsidRPr="00493731" w:rsidRDefault="00493731" w:rsidP="00CF04D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="00E9779B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 w:rsidR="00CF04DC">
              <w:rPr>
                <w:rFonts w:ascii="Bookman Old Style" w:hAnsi="Bookman Old Style"/>
                <w:bCs/>
                <w:sz w:val="24"/>
                <w:szCs w:val="24"/>
              </w:rPr>
              <w:t>444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.00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CF04DC">
              <w:rPr>
                <w:rFonts w:ascii="Bookman Old Style" w:hAnsi="Bookman Old Style"/>
                <w:bCs/>
                <w:sz w:val="24"/>
                <w:szCs w:val="24"/>
              </w:rPr>
              <w:t>-</w:t>
            </w:r>
            <w:r w:rsidR="00E9779B"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7F107B">
              <w:rPr>
                <w:rFonts w:ascii="Bookman Old Style" w:hAnsi="Bookman Old Style"/>
                <w:bCs/>
                <w:sz w:val="24"/>
                <w:szCs w:val="24"/>
              </w:rPr>
              <w:t>1</w:t>
            </w:r>
            <w:r w:rsidR="00CF04DC">
              <w:rPr>
                <w:rFonts w:ascii="Bookman Old Style" w:hAnsi="Bookman Old Style"/>
                <w:bCs/>
                <w:sz w:val="24"/>
                <w:szCs w:val="24"/>
              </w:rPr>
              <w:t>25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.00)</w:t>
            </w:r>
          </w:p>
        </w:tc>
        <w:tc>
          <w:tcPr>
            <w:tcW w:w="2210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USD/INR</w:t>
            </w:r>
          </w:p>
          <w:p w:rsidR="00493731" w:rsidRPr="00493731" w:rsidRDefault="00493731" w:rsidP="00CF04DC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CF04DC">
              <w:rPr>
                <w:rFonts w:ascii="Bookman Old Style" w:hAnsi="Bookman Old Style"/>
                <w:bCs/>
                <w:sz w:val="24"/>
                <w:szCs w:val="24"/>
              </w:rPr>
              <w:t>5</w:t>
            </w:r>
            <w:r w:rsidR="005B140A">
              <w:rPr>
                <w:rFonts w:ascii="Bookman Old Style" w:hAnsi="Bookman Old Style"/>
                <w:bCs/>
                <w:sz w:val="24"/>
                <w:szCs w:val="24"/>
              </w:rPr>
              <w:t>7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7F107B">
              <w:rPr>
                <w:rFonts w:ascii="Bookman Old Style" w:hAnsi="Bookman Old Style"/>
                <w:bCs/>
                <w:sz w:val="24"/>
                <w:szCs w:val="24"/>
              </w:rPr>
              <w:t>+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0.</w:t>
            </w:r>
            <w:r w:rsidR="00CF04DC">
              <w:rPr>
                <w:rFonts w:ascii="Bookman Old Style" w:hAnsi="Bookman Old Style"/>
                <w:bCs/>
                <w:sz w:val="24"/>
                <w:szCs w:val="24"/>
              </w:rPr>
              <w:t>15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)</w:t>
            </w:r>
          </w:p>
        </w:tc>
      </w:tr>
    </w:tbl>
    <w:p w:rsidR="00493731" w:rsidRDefault="00493731" w:rsidP="00990DC0">
      <w:pPr>
        <w:spacing w:before="120" w:after="24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990DC0" w:rsidRPr="00367137" w:rsidRDefault="00990DC0" w:rsidP="00990DC0">
      <w:pPr>
        <w:spacing w:before="120" w:after="24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ICSI Update</w:t>
      </w:r>
    </w:p>
    <w:p w:rsidR="000E6676" w:rsidRDefault="000E6676" w:rsidP="000E6676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 w:rsidRPr="000E6676">
        <w:rPr>
          <w:rFonts w:ascii="Bookman Old Style" w:hAnsi="Bookman Old Style"/>
          <w:bCs/>
          <w:i/>
          <w:sz w:val="24"/>
          <w:szCs w:val="24"/>
          <w:lang w:val="en-US"/>
        </w:rPr>
        <w:t>The Institute is preparing Panel of Female Company Secretaries for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0E6676">
        <w:rPr>
          <w:rFonts w:ascii="Bookman Old Style" w:hAnsi="Bookman Old Style"/>
          <w:bCs/>
          <w:i/>
          <w:sz w:val="24"/>
          <w:szCs w:val="24"/>
          <w:lang w:val="en-US"/>
        </w:rPr>
        <w:t>appointment of Woman Director on the Board of Listed Companies and the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0E6676">
        <w:rPr>
          <w:rFonts w:ascii="Bookman Old Style" w:hAnsi="Bookman Old Style"/>
          <w:bCs/>
          <w:i/>
          <w:sz w:val="24"/>
          <w:szCs w:val="24"/>
          <w:lang w:val="en-US"/>
        </w:rPr>
        <w:t>same would be hosted on the Institute’s website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, </w:t>
      </w:r>
      <w:r w:rsidRPr="000E6676">
        <w:rPr>
          <w:rFonts w:ascii="Bookman Old Style" w:hAnsi="Bookman Old Style"/>
          <w:bCs/>
          <w:i/>
          <w:sz w:val="24"/>
          <w:szCs w:val="24"/>
          <w:lang w:val="en-US"/>
        </w:rPr>
        <w:t>the Female Company Secretaries, who are willing to be appointed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0E6676">
        <w:rPr>
          <w:rFonts w:ascii="Bookman Old Style" w:hAnsi="Bookman Old Style"/>
          <w:bCs/>
          <w:i/>
          <w:sz w:val="24"/>
          <w:szCs w:val="24"/>
          <w:lang w:val="en-US"/>
        </w:rPr>
        <w:t>on the Board of Directors of Listed Companies to forward their particulars.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1" w:history="1">
        <w:r w:rsidRPr="000E6676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</w:t>
        </w:r>
        <w:r w:rsidRPr="000E6676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k</w:t>
        </w:r>
        <w:r w:rsidRPr="000E6676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 xml:space="preserve"> here</w:t>
        </w:r>
      </w:hyperlink>
    </w:p>
    <w:p w:rsidR="000E6676" w:rsidRDefault="000E6676" w:rsidP="000E6676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76484C" w:rsidRDefault="0076484C" w:rsidP="000E6676">
      <w:pPr>
        <w:jc w:val="both"/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ICSI-CCGRT announces </w:t>
      </w:r>
      <w:r w:rsidRPr="0076484C">
        <w:rPr>
          <w:rFonts w:ascii="Bookman Old Style" w:hAnsi="Bookman Old Style"/>
          <w:bCs/>
          <w:i/>
          <w:sz w:val="24"/>
          <w:szCs w:val="24"/>
          <w:lang w:val="en-US"/>
        </w:rPr>
        <w:t>Integrated Company Secretary Course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12" w:history="1">
        <w:r w:rsidRPr="0076484C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</w:t>
        </w:r>
        <w:r w:rsidRPr="0076484C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</w:t>
        </w:r>
        <w:r w:rsidRPr="0076484C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k here</w:t>
        </w:r>
      </w:hyperlink>
    </w:p>
    <w:p w:rsidR="00990DC0" w:rsidRDefault="00990DC0" w:rsidP="00C7200F">
      <w:pPr>
        <w:spacing w:before="24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700674" w:rsidRDefault="00700674" w:rsidP="007C1B91">
      <w:pPr>
        <w:spacing w:before="120" w:after="120"/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proofErr w:type="gramStart"/>
      <w:r w:rsidRPr="00700674">
        <w:rPr>
          <w:rFonts w:ascii="Bookman Old Style" w:hAnsi="Bookman Old Style"/>
          <w:bCs/>
          <w:i/>
          <w:sz w:val="24"/>
          <w:szCs w:val="24"/>
          <w:lang w:val="en-US"/>
        </w:rPr>
        <w:t>National Seminar on Secretarial Audit – A Panacea for Good Governance on April 4, 2015 at Kolkata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3" w:history="1">
        <w:r w:rsidRPr="00700674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</w:t>
        </w:r>
        <w:r w:rsidRPr="00700674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k</w:t>
        </w:r>
        <w:r w:rsidRPr="00700674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 xml:space="preserve"> here</w:t>
        </w:r>
      </w:hyperlink>
    </w:p>
    <w:p w:rsidR="00700674" w:rsidRDefault="00700674" w:rsidP="007C1B91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990DC0" w:rsidRDefault="00990DC0" w:rsidP="007C1B91">
      <w:pPr>
        <w:spacing w:before="120" w:after="120"/>
        <w:jc w:val="both"/>
      </w:pPr>
      <w:proofErr w:type="spellStart"/>
      <w:r>
        <w:rPr>
          <w:rFonts w:ascii="Bookman Old Style" w:hAnsi="Bookman Old Style"/>
          <w:bCs/>
          <w:i/>
          <w:sz w:val="24"/>
          <w:szCs w:val="24"/>
          <w:lang w:val="en-US"/>
        </w:rPr>
        <w:t>IoD</w:t>
      </w:r>
      <w:proofErr w:type="spell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in association with ICSI organizing </w:t>
      </w:r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Dubai Global Convention 2015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on </w:t>
      </w:r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 xml:space="preserve">20 – 22 April 2015, Hotel </w:t>
      </w:r>
      <w:proofErr w:type="gramStart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The</w:t>
      </w:r>
      <w:proofErr w:type="gramEnd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proofErr w:type="spellStart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Meydan</w:t>
      </w:r>
      <w:proofErr w:type="spellEnd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, Dubai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details, </w:t>
      </w:r>
      <w:hyperlink r:id="rId14" w:history="1">
        <w:r w:rsidRPr="009A6D86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</w:t>
        </w:r>
        <w:r w:rsidRPr="009A6D86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</w:t>
        </w:r>
        <w:r w:rsidRPr="009A6D86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k here</w:t>
        </w:r>
      </w:hyperlink>
    </w:p>
    <w:p w:rsidR="00990DC0" w:rsidRDefault="00990DC0" w:rsidP="00C7200F">
      <w:pPr>
        <w:spacing w:before="240" w:after="120"/>
      </w:pPr>
    </w:p>
    <w:p w:rsidR="00242521" w:rsidRPr="00B17B93" w:rsidRDefault="00242521" w:rsidP="00B17B93">
      <w:pPr>
        <w:pBdr>
          <w:bottom w:val="single" w:sz="6" w:space="1" w:color="auto"/>
        </w:pBdr>
        <w:jc w:val="both"/>
        <w:rPr>
          <w:rFonts w:ascii="Bookman Old Style" w:hAnsi="Bookman Old Style"/>
          <w:bCs/>
          <w:sz w:val="24"/>
          <w:szCs w:val="24"/>
          <w:lang w:val="en-US"/>
        </w:rPr>
      </w:pPr>
    </w:p>
    <w:p w:rsidR="00295F28" w:rsidRPr="00605956" w:rsidRDefault="00DF0624" w:rsidP="00605956">
      <w:pPr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 xml:space="preserve">For Previous CS UPDATES </w:t>
      </w:r>
      <w:proofErr w:type="gramStart"/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>visit :</w:t>
      </w:r>
      <w:proofErr w:type="gramEnd"/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cr/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http://www.icsi.edu/Member/CSUpdate.aspx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cr/>
      </w:r>
      <w:proofErr w:type="gramStart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Directorate of 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Academics, 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Professional Development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 &amp; Perspective Planning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, ICSI.</w:t>
      </w:r>
      <w:proofErr w:type="gramEnd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 Email:  </w:t>
      </w:r>
      <w:hyperlink r:id="rId15" w:history="1">
        <w:r w:rsidR="00F81ABC" w:rsidRPr="00F81ABC">
          <w:rPr>
            <w:rStyle w:val="Hyperlink"/>
            <w:rFonts w:ascii="Bookman Old Style" w:hAnsi="Bookman Old Style"/>
            <w:bCs/>
            <w:color w:val="FF0000"/>
            <w:sz w:val="24"/>
            <w:szCs w:val="24"/>
            <w:lang w:val="en-US"/>
          </w:rPr>
          <w:t>csupdate@icsi.edu</w:t>
        </w:r>
      </w:hyperlink>
      <w:r w:rsidR="00F81ABC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</w:p>
    <w:sectPr w:rsidR="00295F28" w:rsidRPr="00605956" w:rsidSect="005D4D08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358"/>
    <w:multiLevelType w:val="hybridMultilevel"/>
    <w:tmpl w:val="043A8520"/>
    <w:lvl w:ilvl="0" w:tplc="160E8BC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05903"/>
    <w:multiLevelType w:val="hybridMultilevel"/>
    <w:tmpl w:val="2A961548"/>
    <w:lvl w:ilvl="0" w:tplc="C9CE9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41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E0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AEC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C1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4E1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6D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3E9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528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3109FA"/>
    <w:multiLevelType w:val="hybridMultilevel"/>
    <w:tmpl w:val="B450EBF8"/>
    <w:lvl w:ilvl="0" w:tplc="20781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C41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AC1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D41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D62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244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5CB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183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C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1085C50"/>
    <w:multiLevelType w:val="hybridMultilevel"/>
    <w:tmpl w:val="98765446"/>
    <w:lvl w:ilvl="0" w:tplc="4FC47B60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A6E9B"/>
    <w:multiLevelType w:val="hybridMultilevel"/>
    <w:tmpl w:val="104C87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D25D5"/>
    <w:multiLevelType w:val="hybridMultilevel"/>
    <w:tmpl w:val="20363BFC"/>
    <w:lvl w:ilvl="0" w:tplc="84A2A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FE2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A6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001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E3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F8E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84F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68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C27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32460"/>
    <w:multiLevelType w:val="hybridMultilevel"/>
    <w:tmpl w:val="E354AA38"/>
    <w:lvl w:ilvl="0" w:tplc="A11C2A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544D6E"/>
    <w:multiLevelType w:val="hybridMultilevel"/>
    <w:tmpl w:val="616852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574EF"/>
    <w:multiLevelType w:val="hybridMultilevel"/>
    <w:tmpl w:val="9BB2A23A"/>
    <w:lvl w:ilvl="0" w:tplc="07908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EC6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CA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94A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087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1EA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5E5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FE0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29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50A6"/>
    <w:rsid w:val="00000356"/>
    <w:rsid w:val="000049CF"/>
    <w:rsid w:val="00007353"/>
    <w:rsid w:val="000133F2"/>
    <w:rsid w:val="00035D73"/>
    <w:rsid w:val="0005088E"/>
    <w:rsid w:val="0008190B"/>
    <w:rsid w:val="000956CA"/>
    <w:rsid w:val="000B14CA"/>
    <w:rsid w:val="000B4877"/>
    <w:rsid w:val="000D07A3"/>
    <w:rsid w:val="000D0D6E"/>
    <w:rsid w:val="000E6676"/>
    <w:rsid w:val="000E7FAD"/>
    <w:rsid w:val="000F065D"/>
    <w:rsid w:val="000F1B85"/>
    <w:rsid w:val="0011494B"/>
    <w:rsid w:val="0011579B"/>
    <w:rsid w:val="00120CDE"/>
    <w:rsid w:val="001229ED"/>
    <w:rsid w:val="00132074"/>
    <w:rsid w:val="0013469F"/>
    <w:rsid w:val="00140DFE"/>
    <w:rsid w:val="001427BE"/>
    <w:rsid w:val="001556EB"/>
    <w:rsid w:val="00167E1C"/>
    <w:rsid w:val="001852E9"/>
    <w:rsid w:val="00186ABB"/>
    <w:rsid w:val="001A1E05"/>
    <w:rsid w:val="001A6188"/>
    <w:rsid w:val="001B1139"/>
    <w:rsid w:val="001B49AD"/>
    <w:rsid w:val="00206AC0"/>
    <w:rsid w:val="00211BB7"/>
    <w:rsid w:val="00221EB8"/>
    <w:rsid w:val="002355D8"/>
    <w:rsid w:val="00242521"/>
    <w:rsid w:val="00244BAB"/>
    <w:rsid w:val="002517DB"/>
    <w:rsid w:val="0026138E"/>
    <w:rsid w:val="002738D3"/>
    <w:rsid w:val="00274C7B"/>
    <w:rsid w:val="00292E60"/>
    <w:rsid w:val="00295070"/>
    <w:rsid w:val="00295435"/>
    <w:rsid w:val="00295F28"/>
    <w:rsid w:val="002B5A46"/>
    <w:rsid w:val="002B6D91"/>
    <w:rsid w:val="002D39A7"/>
    <w:rsid w:val="002F1C48"/>
    <w:rsid w:val="002F2E93"/>
    <w:rsid w:val="002F3819"/>
    <w:rsid w:val="002F5DA7"/>
    <w:rsid w:val="002F6FB2"/>
    <w:rsid w:val="00312A8A"/>
    <w:rsid w:val="003151F1"/>
    <w:rsid w:val="0031739E"/>
    <w:rsid w:val="00335367"/>
    <w:rsid w:val="003356D8"/>
    <w:rsid w:val="00337F45"/>
    <w:rsid w:val="00342E62"/>
    <w:rsid w:val="00361C66"/>
    <w:rsid w:val="00363B3B"/>
    <w:rsid w:val="00367137"/>
    <w:rsid w:val="00374633"/>
    <w:rsid w:val="00392A85"/>
    <w:rsid w:val="00397CCB"/>
    <w:rsid w:val="003A0373"/>
    <w:rsid w:val="003A27E2"/>
    <w:rsid w:val="003D3B55"/>
    <w:rsid w:val="003E2DE2"/>
    <w:rsid w:val="003E3AD0"/>
    <w:rsid w:val="003E5C08"/>
    <w:rsid w:val="00410DA6"/>
    <w:rsid w:val="00414935"/>
    <w:rsid w:val="00427D48"/>
    <w:rsid w:val="004404A0"/>
    <w:rsid w:val="00465D84"/>
    <w:rsid w:val="00467299"/>
    <w:rsid w:val="00480CDD"/>
    <w:rsid w:val="00483112"/>
    <w:rsid w:val="00493731"/>
    <w:rsid w:val="004A2AE9"/>
    <w:rsid w:val="004A5A65"/>
    <w:rsid w:val="004D3CD5"/>
    <w:rsid w:val="005003CB"/>
    <w:rsid w:val="00510392"/>
    <w:rsid w:val="00511DAF"/>
    <w:rsid w:val="0052563D"/>
    <w:rsid w:val="005266D4"/>
    <w:rsid w:val="005430EF"/>
    <w:rsid w:val="00547020"/>
    <w:rsid w:val="00567AD0"/>
    <w:rsid w:val="00571FA7"/>
    <w:rsid w:val="005853F9"/>
    <w:rsid w:val="005B140A"/>
    <w:rsid w:val="005D4D08"/>
    <w:rsid w:val="005D6A0D"/>
    <w:rsid w:val="005D79DA"/>
    <w:rsid w:val="005E4BFF"/>
    <w:rsid w:val="005E6F72"/>
    <w:rsid w:val="00603EEA"/>
    <w:rsid w:val="00605956"/>
    <w:rsid w:val="0061732C"/>
    <w:rsid w:val="00624E0E"/>
    <w:rsid w:val="006726A6"/>
    <w:rsid w:val="006814F9"/>
    <w:rsid w:val="006840F8"/>
    <w:rsid w:val="00691DC4"/>
    <w:rsid w:val="006977E6"/>
    <w:rsid w:val="006A5D5A"/>
    <w:rsid w:val="006A72D0"/>
    <w:rsid w:val="006C40C2"/>
    <w:rsid w:val="006F1EA3"/>
    <w:rsid w:val="006F737B"/>
    <w:rsid w:val="00700674"/>
    <w:rsid w:val="0070445B"/>
    <w:rsid w:val="0074118E"/>
    <w:rsid w:val="00752D96"/>
    <w:rsid w:val="00755FA2"/>
    <w:rsid w:val="00763762"/>
    <w:rsid w:val="0076484C"/>
    <w:rsid w:val="00764CC9"/>
    <w:rsid w:val="007660DA"/>
    <w:rsid w:val="00784CB1"/>
    <w:rsid w:val="00787C68"/>
    <w:rsid w:val="007902D9"/>
    <w:rsid w:val="007A3C3F"/>
    <w:rsid w:val="007C1B91"/>
    <w:rsid w:val="007D0AD5"/>
    <w:rsid w:val="007D7896"/>
    <w:rsid w:val="007F0E54"/>
    <w:rsid w:val="007F107B"/>
    <w:rsid w:val="007F18EC"/>
    <w:rsid w:val="007F7848"/>
    <w:rsid w:val="0082411B"/>
    <w:rsid w:val="0083550B"/>
    <w:rsid w:val="00841744"/>
    <w:rsid w:val="0085187D"/>
    <w:rsid w:val="008536EB"/>
    <w:rsid w:val="008630F2"/>
    <w:rsid w:val="00895D8C"/>
    <w:rsid w:val="008C006C"/>
    <w:rsid w:val="008C4735"/>
    <w:rsid w:val="008C66EF"/>
    <w:rsid w:val="008C688D"/>
    <w:rsid w:val="008D50ED"/>
    <w:rsid w:val="008D5C45"/>
    <w:rsid w:val="008E6A4A"/>
    <w:rsid w:val="008F481D"/>
    <w:rsid w:val="0090082B"/>
    <w:rsid w:val="009042DF"/>
    <w:rsid w:val="009243D6"/>
    <w:rsid w:val="00960800"/>
    <w:rsid w:val="00990DC0"/>
    <w:rsid w:val="0099167C"/>
    <w:rsid w:val="0099363D"/>
    <w:rsid w:val="009A6D86"/>
    <w:rsid w:val="009B05D5"/>
    <w:rsid w:val="009B3A84"/>
    <w:rsid w:val="009D0C1B"/>
    <w:rsid w:val="009E5742"/>
    <w:rsid w:val="009F624E"/>
    <w:rsid w:val="009F6A31"/>
    <w:rsid w:val="009F7828"/>
    <w:rsid w:val="00A04E50"/>
    <w:rsid w:val="00A13995"/>
    <w:rsid w:val="00A1513B"/>
    <w:rsid w:val="00A17599"/>
    <w:rsid w:val="00A22C0E"/>
    <w:rsid w:val="00A23555"/>
    <w:rsid w:val="00A33C61"/>
    <w:rsid w:val="00A53C84"/>
    <w:rsid w:val="00A610F1"/>
    <w:rsid w:val="00A6236A"/>
    <w:rsid w:val="00A80F01"/>
    <w:rsid w:val="00A84F97"/>
    <w:rsid w:val="00A90329"/>
    <w:rsid w:val="00A94CF9"/>
    <w:rsid w:val="00AB207A"/>
    <w:rsid w:val="00AC2144"/>
    <w:rsid w:val="00B00466"/>
    <w:rsid w:val="00B05ECC"/>
    <w:rsid w:val="00B17B93"/>
    <w:rsid w:val="00B35FB1"/>
    <w:rsid w:val="00B44531"/>
    <w:rsid w:val="00B45E06"/>
    <w:rsid w:val="00B47F29"/>
    <w:rsid w:val="00B63F89"/>
    <w:rsid w:val="00B73F95"/>
    <w:rsid w:val="00B75179"/>
    <w:rsid w:val="00B75F86"/>
    <w:rsid w:val="00BA45C3"/>
    <w:rsid w:val="00BF02E0"/>
    <w:rsid w:val="00C02CB0"/>
    <w:rsid w:val="00C051A8"/>
    <w:rsid w:val="00C06EE9"/>
    <w:rsid w:val="00C119ED"/>
    <w:rsid w:val="00C176C1"/>
    <w:rsid w:val="00C30F36"/>
    <w:rsid w:val="00C35492"/>
    <w:rsid w:val="00C368D2"/>
    <w:rsid w:val="00C36BC0"/>
    <w:rsid w:val="00C46424"/>
    <w:rsid w:val="00C7200F"/>
    <w:rsid w:val="00C918C3"/>
    <w:rsid w:val="00C9642A"/>
    <w:rsid w:val="00C972D1"/>
    <w:rsid w:val="00CA49A5"/>
    <w:rsid w:val="00CB5D23"/>
    <w:rsid w:val="00CD0213"/>
    <w:rsid w:val="00CD3930"/>
    <w:rsid w:val="00CF04DC"/>
    <w:rsid w:val="00CF172F"/>
    <w:rsid w:val="00CF64DA"/>
    <w:rsid w:val="00D07031"/>
    <w:rsid w:val="00D130FC"/>
    <w:rsid w:val="00D17EFA"/>
    <w:rsid w:val="00D37BD9"/>
    <w:rsid w:val="00D470A4"/>
    <w:rsid w:val="00D61EC7"/>
    <w:rsid w:val="00D629D0"/>
    <w:rsid w:val="00D757E5"/>
    <w:rsid w:val="00D77946"/>
    <w:rsid w:val="00D84D10"/>
    <w:rsid w:val="00D92B24"/>
    <w:rsid w:val="00DC4EF2"/>
    <w:rsid w:val="00DD5C29"/>
    <w:rsid w:val="00DE2361"/>
    <w:rsid w:val="00DE50CA"/>
    <w:rsid w:val="00DE7760"/>
    <w:rsid w:val="00DF0624"/>
    <w:rsid w:val="00DF3F74"/>
    <w:rsid w:val="00E11310"/>
    <w:rsid w:val="00E154D9"/>
    <w:rsid w:val="00E179D5"/>
    <w:rsid w:val="00E2289E"/>
    <w:rsid w:val="00E25B5D"/>
    <w:rsid w:val="00E52D55"/>
    <w:rsid w:val="00E53609"/>
    <w:rsid w:val="00E55412"/>
    <w:rsid w:val="00E64D60"/>
    <w:rsid w:val="00E64E63"/>
    <w:rsid w:val="00E72AE4"/>
    <w:rsid w:val="00E736D4"/>
    <w:rsid w:val="00E83D87"/>
    <w:rsid w:val="00E8414D"/>
    <w:rsid w:val="00E8624A"/>
    <w:rsid w:val="00E9779B"/>
    <w:rsid w:val="00EA15BE"/>
    <w:rsid w:val="00EA2DDB"/>
    <w:rsid w:val="00EB2E62"/>
    <w:rsid w:val="00EC437D"/>
    <w:rsid w:val="00EC61CA"/>
    <w:rsid w:val="00EF50A6"/>
    <w:rsid w:val="00F25DBF"/>
    <w:rsid w:val="00F276F0"/>
    <w:rsid w:val="00F51E13"/>
    <w:rsid w:val="00F615D5"/>
    <w:rsid w:val="00F70766"/>
    <w:rsid w:val="00F80449"/>
    <w:rsid w:val="00F81177"/>
    <w:rsid w:val="00F81ABC"/>
    <w:rsid w:val="00F82C65"/>
    <w:rsid w:val="00F84105"/>
    <w:rsid w:val="00F84BA1"/>
    <w:rsid w:val="00F90B2A"/>
    <w:rsid w:val="00F941BB"/>
    <w:rsid w:val="00F94247"/>
    <w:rsid w:val="00F97188"/>
    <w:rsid w:val="00FA6AA6"/>
    <w:rsid w:val="00FB1BE5"/>
    <w:rsid w:val="00FB630C"/>
    <w:rsid w:val="00FC01A7"/>
    <w:rsid w:val="00FD2FF4"/>
    <w:rsid w:val="00FD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F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0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05956"/>
    <w:rPr>
      <w:color w:val="800080" w:themeColor="followedHyperlink"/>
      <w:u w:val="single"/>
    </w:rPr>
  </w:style>
  <w:style w:type="character" w:customStyle="1" w:styleId="firstword1">
    <w:name w:val="firstword1"/>
    <w:basedOn w:val="DefaultParagraphFont"/>
    <w:rsid w:val="00DE7760"/>
    <w:rPr>
      <w:rFonts w:ascii="Verdana" w:hAnsi="Verdana" w:hint="default"/>
      <w:b/>
      <w:bCs/>
      <w:strike w:val="0"/>
      <w:dstrike w:val="0"/>
      <w:sz w:val="19"/>
      <w:szCs w:val="19"/>
      <w:u w:val="none"/>
      <w:effect w:val="none"/>
    </w:rPr>
  </w:style>
  <w:style w:type="character" w:customStyle="1" w:styleId="bqquotelink1">
    <w:name w:val="bqquotelink1"/>
    <w:basedOn w:val="DefaultParagraphFont"/>
    <w:rsid w:val="000956CA"/>
    <w:rPr>
      <w:rFonts w:ascii="Helvetica" w:hAnsi="Helvetica" w:hint="default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7961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C3CCDF"/>
                            <w:left w:val="single" w:sz="6" w:space="3" w:color="C3CCDF"/>
                            <w:bottom w:val="single" w:sz="6" w:space="3" w:color="C3CCDF"/>
                            <w:right w:val="single" w:sz="6" w:space="3" w:color="C3CCDF"/>
                          </w:divBdr>
                          <w:divsChild>
                            <w:div w:id="3003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1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853">
          <w:marLeft w:val="0"/>
          <w:marRight w:val="0"/>
          <w:marTop w:val="107"/>
          <w:marBottom w:val="107"/>
          <w:divBdr>
            <w:top w:val="single" w:sz="4" w:space="0" w:color="444444"/>
            <w:left w:val="single" w:sz="4" w:space="0" w:color="444444"/>
            <w:bottom w:val="single" w:sz="4" w:space="0" w:color="444444"/>
            <w:right w:val="single" w:sz="4" w:space="0" w:color="444444"/>
          </w:divBdr>
          <w:divsChild>
            <w:div w:id="21164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00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7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9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0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cometaxindia.gov.in/communications/circular/circular_4_2015.pdf" TargetMode="External"/><Relationship Id="rId13" Type="http://schemas.openxmlformats.org/officeDocument/2006/relationships/hyperlink" Target="https://www.icsi.edu/docs/Webmodules/LinksOfWeeks/FLYER%20EIRC%202503201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bi.gov.in/cms/sebi_data/attachdocs/1427450911533.pdf" TargetMode="External"/><Relationship Id="rId12" Type="http://schemas.openxmlformats.org/officeDocument/2006/relationships/hyperlink" Target="https://www.icsi.edu/docs/Webmodules/LinksOfWeeks/ICSI-Integrated%20CS%20Course%20Prospectus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indiancitizenshiponline.nic.in/UserGuide/E-gazette.pdf" TargetMode="External"/><Relationship Id="rId11" Type="http://schemas.openxmlformats.org/officeDocument/2006/relationships/hyperlink" Target="https://www.icsi.edu/docs/Webmodules/LinksOfWeeks/Appointment_of_Women_Directors_24032015.pdf" TargetMode="External"/><Relationship Id="rId5" Type="http://schemas.openxmlformats.org/officeDocument/2006/relationships/hyperlink" Target="http://mca.gov.in/Ministry/pdf/Notification_26032015.pdf" TargetMode="External"/><Relationship Id="rId15" Type="http://schemas.openxmlformats.org/officeDocument/2006/relationships/hyperlink" Target="mailto:csupdate@icsi.edu" TargetMode="External"/><Relationship Id="rId10" Type="http://schemas.openxmlformats.org/officeDocument/2006/relationships/hyperlink" Target="http://rbidocs.rbi.org.in/rdocs/content/pdfs/DPLEFA270320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rai.gov.in/WriteReadData/WhatsNew/Documents/OTT-CP-27032015.pdf" TargetMode="External"/><Relationship Id="rId14" Type="http://schemas.openxmlformats.org/officeDocument/2006/relationships/hyperlink" Target="https://www.icsi.edu/docs/Webmodules/Dubai%20Glob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214</cp:revision>
  <dcterms:created xsi:type="dcterms:W3CDTF">2015-02-26T04:05:00Z</dcterms:created>
  <dcterms:modified xsi:type="dcterms:W3CDTF">2015-03-30T05:02:00Z</dcterms:modified>
</cp:coreProperties>
</file>