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99" w:rsidRPr="004B2C49" w:rsidRDefault="00E95199" w:rsidP="005F5CE3">
      <w:pPr>
        <w:jc w:val="both"/>
        <w:rPr>
          <w:b/>
        </w:rPr>
      </w:pPr>
    </w:p>
    <w:p w:rsidR="00DE677E" w:rsidRPr="004B2C49" w:rsidRDefault="002826FB" w:rsidP="00851555">
      <w:pPr>
        <w:spacing w:line="360" w:lineRule="auto"/>
        <w:ind w:left="1440" w:firstLine="720"/>
        <w:jc w:val="both"/>
        <w:rPr>
          <w:rFonts w:ascii="Arial" w:hAnsi="Arial" w:cs="Arial"/>
          <w:b/>
          <w:sz w:val="28"/>
          <w:szCs w:val="28"/>
        </w:rPr>
      </w:pPr>
      <w:r w:rsidRPr="004B2C49">
        <w:rPr>
          <w:rFonts w:ascii="Arial" w:hAnsi="Arial" w:cs="Arial"/>
          <w:b/>
          <w:sz w:val="28"/>
          <w:szCs w:val="28"/>
        </w:rPr>
        <w:t>FAQs o</w:t>
      </w:r>
      <w:r w:rsidR="00E95199" w:rsidRPr="004B2C49">
        <w:rPr>
          <w:rFonts w:ascii="Arial" w:hAnsi="Arial" w:cs="Arial"/>
          <w:b/>
          <w:sz w:val="28"/>
          <w:szCs w:val="28"/>
        </w:rPr>
        <w:t>n Goods &amp; Services Tax</w:t>
      </w:r>
    </w:p>
    <w:p w:rsidR="001E538C" w:rsidRDefault="001E538C" w:rsidP="001E538C">
      <w:pPr>
        <w:autoSpaceDE w:val="0"/>
        <w:autoSpaceDN w:val="0"/>
        <w:adjustRightInd w:val="0"/>
        <w:spacing w:after="0" w:line="240" w:lineRule="auto"/>
        <w:ind w:left="2160"/>
        <w:rPr>
          <w:rFonts w:ascii="Cambria" w:hAnsi="Cambria" w:cs="Cambria"/>
          <w:b/>
          <w:sz w:val="38"/>
          <w:szCs w:val="38"/>
          <w:lang w:val="en-US"/>
        </w:rPr>
      </w:pPr>
      <w:r w:rsidRPr="001E538C">
        <w:rPr>
          <w:rFonts w:ascii="Cambria" w:hAnsi="Cambria" w:cs="Cambria"/>
          <w:b/>
          <w:sz w:val="38"/>
          <w:szCs w:val="38"/>
          <w:lang w:val="en-US"/>
        </w:rPr>
        <w:t>10. Input Tax Credit</w:t>
      </w:r>
    </w:p>
    <w:p w:rsidR="001E538C" w:rsidRPr="005D657A" w:rsidRDefault="001E538C" w:rsidP="005D657A">
      <w:pPr>
        <w:autoSpaceDE w:val="0"/>
        <w:autoSpaceDN w:val="0"/>
        <w:adjustRightInd w:val="0"/>
        <w:spacing w:after="0" w:line="360" w:lineRule="auto"/>
        <w:ind w:left="2160"/>
        <w:jc w:val="both"/>
        <w:rPr>
          <w:rFonts w:cs="Cambria"/>
          <w:b/>
          <w:sz w:val="28"/>
          <w:szCs w:val="28"/>
          <w:lang w:val="en-US"/>
        </w:rPr>
      </w:pPr>
    </w:p>
    <w:p w:rsidR="006D00BC" w:rsidRPr="006D00BC" w:rsidRDefault="006D00BC" w:rsidP="00782A81">
      <w:pPr>
        <w:autoSpaceDE w:val="0"/>
        <w:autoSpaceDN w:val="0"/>
        <w:adjustRightInd w:val="0"/>
        <w:spacing w:after="0" w:line="360" w:lineRule="auto"/>
        <w:ind w:left="630" w:hanging="630"/>
        <w:jc w:val="both"/>
        <w:rPr>
          <w:rFonts w:cs="Cambria-Bold"/>
          <w:b/>
          <w:bCs/>
          <w:sz w:val="28"/>
          <w:szCs w:val="28"/>
          <w:lang w:val="en-US"/>
        </w:rPr>
      </w:pPr>
      <w:r w:rsidRPr="006D00BC">
        <w:rPr>
          <w:rFonts w:cs="Cambria-Bold"/>
          <w:b/>
          <w:bCs/>
          <w:sz w:val="28"/>
          <w:szCs w:val="28"/>
          <w:lang w:val="en-US"/>
        </w:rPr>
        <w:t>Q 9. Where goods and/or services received by a taxable person are used for the purpose of business and non-business supplies, whether the input tax credit is available to the registered taxable person?</w:t>
      </w:r>
    </w:p>
    <w:p w:rsidR="006D00BC" w:rsidRPr="006D00BC" w:rsidRDefault="006D00BC" w:rsidP="00782A81">
      <w:pPr>
        <w:autoSpaceDE w:val="0"/>
        <w:autoSpaceDN w:val="0"/>
        <w:adjustRightInd w:val="0"/>
        <w:spacing w:after="0" w:line="360" w:lineRule="auto"/>
        <w:ind w:left="630" w:hanging="630"/>
        <w:jc w:val="both"/>
        <w:rPr>
          <w:rFonts w:cs="Cambria-Italic"/>
          <w:iCs/>
          <w:sz w:val="28"/>
          <w:szCs w:val="28"/>
          <w:lang w:val="en-US"/>
        </w:rPr>
      </w:pPr>
      <w:r w:rsidRPr="006D00BC">
        <w:rPr>
          <w:rFonts w:cs="Cambria-Italic"/>
          <w:iCs/>
          <w:sz w:val="28"/>
          <w:szCs w:val="28"/>
          <w:lang w:val="en-US"/>
        </w:rPr>
        <w:t>Ans. As per section 16(5) of the MGL, the input tax credit of goods and / or service attributable to only supplies effected</w:t>
      </w:r>
      <w:r w:rsidRPr="006D00BC">
        <w:rPr>
          <w:rFonts w:cs="Cambria"/>
          <w:sz w:val="28"/>
          <w:szCs w:val="28"/>
          <w:lang w:val="en-US"/>
        </w:rPr>
        <w:t xml:space="preserve"> </w:t>
      </w:r>
      <w:r w:rsidRPr="006D00BC">
        <w:rPr>
          <w:rFonts w:cs="Cambria-Italic"/>
          <w:iCs/>
          <w:sz w:val="28"/>
          <w:szCs w:val="28"/>
          <w:lang w:val="en-US"/>
        </w:rPr>
        <w:t>for business purpose can be taken by registered taxable person. The amount of eligible credit would be calculated in a manner to be prescribed in terms of section 16(7) of the MGL read with GST ITC Rules (yet to be issued). It is important to note that credit on capital goods also would now be permitted on proportionate basis.</w:t>
      </w:r>
    </w:p>
    <w:p w:rsidR="006D00BC" w:rsidRPr="006D00BC" w:rsidRDefault="006D00BC" w:rsidP="00782A81">
      <w:pPr>
        <w:autoSpaceDE w:val="0"/>
        <w:autoSpaceDN w:val="0"/>
        <w:adjustRightInd w:val="0"/>
        <w:spacing w:after="0" w:line="360" w:lineRule="auto"/>
        <w:jc w:val="both"/>
        <w:rPr>
          <w:rFonts w:cs="Cambria-Italic"/>
          <w:iCs/>
          <w:sz w:val="28"/>
          <w:szCs w:val="28"/>
          <w:lang w:val="en-US"/>
        </w:rPr>
      </w:pPr>
    </w:p>
    <w:p w:rsidR="006D00BC" w:rsidRPr="006D00BC" w:rsidRDefault="006D00BC" w:rsidP="00782A81">
      <w:pPr>
        <w:autoSpaceDE w:val="0"/>
        <w:autoSpaceDN w:val="0"/>
        <w:adjustRightInd w:val="0"/>
        <w:spacing w:after="0" w:line="360" w:lineRule="auto"/>
        <w:ind w:left="720" w:hanging="720"/>
        <w:jc w:val="both"/>
        <w:rPr>
          <w:rFonts w:cs="Cambria-Bold"/>
          <w:b/>
          <w:bCs/>
          <w:sz w:val="28"/>
          <w:szCs w:val="28"/>
          <w:lang w:val="en-US"/>
        </w:rPr>
      </w:pPr>
      <w:r w:rsidRPr="006D00BC">
        <w:rPr>
          <w:rFonts w:cs="Cambria-Bold"/>
          <w:b/>
          <w:bCs/>
          <w:sz w:val="28"/>
          <w:szCs w:val="28"/>
          <w:lang w:val="en-US"/>
        </w:rPr>
        <w:t>Q 10. What would be input tax eligibility in cases where there is a change in the constitution of a registered taxable person?</w:t>
      </w:r>
    </w:p>
    <w:p w:rsidR="00595988" w:rsidRPr="006D00BC" w:rsidRDefault="006D00BC" w:rsidP="00782A81">
      <w:pPr>
        <w:autoSpaceDE w:val="0"/>
        <w:autoSpaceDN w:val="0"/>
        <w:adjustRightInd w:val="0"/>
        <w:spacing w:after="0" w:line="360" w:lineRule="auto"/>
        <w:ind w:left="630" w:hanging="630"/>
        <w:jc w:val="both"/>
        <w:rPr>
          <w:rFonts w:cs="Cambria-Italic"/>
          <w:iCs/>
          <w:sz w:val="28"/>
          <w:szCs w:val="28"/>
          <w:lang w:val="en-US"/>
        </w:rPr>
      </w:pPr>
      <w:r w:rsidRPr="006D00BC">
        <w:rPr>
          <w:rFonts w:cs="Cambria-Italic"/>
          <w:iCs/>
          <w:sz w:val="28"/>
          <w:szCs w:val="28"/>
          <w:lang w:val="en-US"/>
        </w:rPr>
        <w:t>Ans. As per section 16(8) of the MGL, the transferor shall be allowed to transfer the input tax credit that remains unutilized in its books of accounts to the transferee provided that there is a specific provision for transfer of liabilities.</w:t>
      </w:r>
    </w:p>
    <w:p w:rsidR="006D00BC" w:rsidRPr="006D00BC" w:rsidRDefault="006D00BC" w:rsidP="006D00BC">
      <w:pPr>
        <w:autoSpaceDE w:val="0"/>
        <w:autoSpaceDN w:val="0"/>
        <w:adjustRightInd w:val="0"/>
        <w:spacing w:after="0" w:line="360" w:lineRule="auto"/>
        <w:jc w:val="both"/>
        <w:rPr>
          <w:rFonts w:cs="Arial"/>
          <w:color w:val="0070C0"/>
          <w:sz w:val="28"/>
          <w:szCs w:val="28"/>
        </w:rPr>
      </w:pPr>
    </w:p>
    <w:p w:rsidR="00126992" w:rsidRPr="006277D2" w:rsidRDefault="00414555" w:rsidP="0010517E">
      <w:pPr>
        <w:autoSpaceDE w:val="0"/>
        <w:autoSpaceDN w:val="0"/>
        <w:adjustRightInd w:val="0"/>
        <w:spacing w:after="0" w:line="240" w:lineRule="auto"/>
        <w:rPr>
          <w:rFonts w:ascii="Cambria-Italic" w:hAnsi="Cambria-Italic" w:cs="Cambria-Italic"/>
          <w:i/>
          <w:iCs/>
          <w:sz w:val="24"/>
          <w:szCs w:val="24"/>
          <w:lang w:val="en-US"/>
        </w:rPr>
      </w:pPr>
      <w:r w:rsidRPr="006277D2">
        <w:rPr>
          <w:rFonts w:ascii="Arial" w:hAnsi="Arial" w:cs="Arial"/>
          <w:color w:val="0070C0"/>
        </w:rPr>
        <w:t>Source:http://cbec.gov.in/resources//htdocscbec/deptt_offcr/faqongst.pdf;jsessionid=825C7C194F0FC0652FFE5A809FE81F69</w:t>
      </w:r>
    </w:p>
    <w:p w:rsidR="00A84516" w:rsidRPr="006277D2" w:rsidRDefault="00A84516" w:rsidP="00126992">
      <w:pPr>
        <w:spacing w:line="360" w:lineRule="auto"/>
        <w:jc w:val="both"/>
        <w:rPr>
          <w:rFonts w:ascii="Arial" w:hAnsi="Arial" w:cs="Arial"/>
          <w:color w:val="0070C0"/>
        </w:rPr>
      </w:pPr>
    </w:p>
    <w:p w:rsidR="00E95199" w:rsidRPr="004B2C49" w:rsidRDefault="00E95199" w:rsidP="00F37112">
      <w:pPr>
        <w:spacing w:line="360" w:lineRule="auto"/>
        <w:ind w:left="2880" w:firstLine="720"/>
        <w:jc w:val="both"/>
        <w:rPr>
          <w:rFonts w:ascii="Arial" w:hAnsi="Arial" w:cs="Arial"/>
          <w:color w:val="0070C0"/>
        </w:rPr>
      </w:pPr>
      <w:r w:rsidRPr="004B2C49">
        <w:rPr>
          <w:rFonts w:ascii="Arial" w:hAnsi="Arial" w:cs="Arial"/>
        </w:rPr>
        <w:t>===============</w:t>
      </w:r>
    </w:p>
    <w:p w:rsidR="00D91D1F" w:rsidRPr="004B2C49" w:rsidRDefault="00D91D1F"/>
    <w:sectPr w:rsidR="00D91D1F" w:rsidRPr="004B2C49" w:rsidSect="00A0611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0E9" w:rsidRDefault="001F30E9" w:rsidP="00B74489">
      <w:pPr>
        <w:spacing w:after="0" w:line="240" w:lineRule="auto"/>
      </w:pPr>
      <w:r>
        <w:separator/>
      </w:r>
    </w:p>
  </w:endnote>
  <w:endnote w:type="continuationSeparator" w:id="1">
    <w:p w:rsidR="001F30E9" w:rsidRDefault="001F30E9" w:rsidP="00B744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roman"/>
    <w:notTrueType/>
    <w:pitch w:val="default"/>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0E9" w:rsidRDefault="001F30E9" w:rsidP="00B74489">
      <w:pPr>
        <w:spacing w:after="0" w:line="240" w:lineRule="auto"/>
      </w:pPr>
      <w:r>
        <w:separator/>
      </w:r>
    </w:p>
  </w:footnote>
  <w:footnote w:type="continuationSeparator" w:id="1">
    <w:p w:rsidR="001F30E9" w:rsidRDefault="001F30E9" w:rsidP="00B744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A6CE0"/>
    <w:multiLevelType w:val="hybridMultilevel"/>
    <w:tmpl w:val="259C3028"/>
    <w:lvl w:ilvl="0" w:tplc="E3061D8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892C43"/>
    <w:multiLevelType w:val="hybridMultilevel"/>
    <w:tmpl w:val="B49E9650"/>
    <w:lvl w:ilvl="0" w:tplc="338E5358">
      <w:start w:val="1"/>
      <w:numFmt w:val="decimal"/>
      <w:lvlText w:val="%1."/>
      <w:lvlJc w:val="left"/>
      <w:pPr>
        <w:ind w:left="2520" w:hanging="360"/>
      </w:pPr>
      <w:rPr>
        <w:rFonts w:hint="default"/>
        <w:b/>
        <w:i/>
        <w:sz w:val="28"/>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
    <w:nsid w:val="47710E22"/>
    <w:multiLevelType w:val="hybridMultilevel"/>
    <w:tmpl w:val="121C1510"/>
    <w:lvl w:ilvl="0" w:tplc="FD426F2A">
      <w:start w:val="1"/>
      <w:numFmt w:val="lowerRoman"/>
      <w:lvlText w:val="(%1)"/>
      <w:lvlJc w:val="left"/>
      <w:pPr>
        <w:ind w:left="2007" w:hanging="720"/>
      </w:pPr>
      <w:rPr>
        <w:rFonts w:hint="default"/>
      </w:rPr>
    </w:lvl>
    <w:lvl w:ilvl="1" w:tplc="40090019" w:tentative="1">
      <w:start w:val="1"/>
      <w:numFmt w:val="lowerLetter"/>
      <w:lvlText w:val="%2."/>
      <w:lvlJc w:val="left"/>
      <w:pPr>
        <w:ind w:left="2367" w:hanging="360"/>
      </w:pPr>
    </w:lvl>
    <w:lvl w:ilvl="2" w:tplc="4009001B" w:tentative="1">
      <w:start w:val="1"/>
      <w:numFmt w:val="lowerRoman"/>
      <w:lvlText w:val="%3."/>
      <w:lvlJc w:val="right"/>
      <w:pPr>
        <w:ind w:left="3087" w:hanging="180"/>
      </w:pPr>
    </w:lvl>
    <w:lvl w:ilvl="3" w:tplc="4009000F" w:tentative="1">
      <w:start w:val="1"/>
      <w:numFmt w:val="decimal"/>
      <w:lvlText w:val="%4."/>
      <w:lvlJc w:val="left"/>
      <w:pPr>
        <w:ind w:left="3807" w:hanging="360"/>
      </w:pPr>
    </w:lvl>
    <w:lvl w:ilvl="4" w:tplc="40090019" w:tentative="1">
      <w:start w:val="1"/>
      <w:numFmt w:val="lowerLetter"/>
      <w:lvlText w:val="%5."/>
      <w:lvlJc w:val="left"/>
      <w:pPr>
        <w:ind w:left="4527" w:hanging="360"/>
      </w:pPr>
    </w:lvl>
    <w:lvl w:ilvl="5" w:tplc="4009001B" w:tentative="1">
      <w:start w:val="1"/>
      <w:numFmt w:val="lowerRoman"/>
      <w:lvlText w:val="%6."/>
      <w:lvlJc w:val="right"/>
      <w:pPr>
        <w:ind w:left="5247" w:hanging="180"/>
      </w:pPr>
    </w:lvl>
    <w:lvl w:ilvl="6" w:tplc="4009000F" w:tentative="1">
      <w:start w:val="1"/>
      <w:numFmt w:val="decimal"/>
      <w:lvlText w:val="%7."/>
      <w:lvlJc w:val="left"/>
      <w:pPr>
        <w:ind w:left="5967" w:hanging="360"/>
      </w:pPr>
    </w:lvl>
    <w:lvl w:ilvl="7" w:tplc="40090019" w:tentative="1">
      <w:start w:val="1"/>
      <w:numFmt w:val="lowerLetter"/>
      <w:lvlText w:val="%8."/>
      <w:lvlJc w:val="left"/>
      <w:pPr>
        <w:ind w:left="6687" w:hanging="360"/>
      </w:pPr>
    </w:lvl>
    <w:lvl w:ilvl="8" w:tplc="4009001B" w:tentative="1">
      <w:start w:val="1"/>
      <w:numFmt w:val="lowerRoman"/>
      <w:lvlText w:val="%9."/>
      <w:lvlJc w:val="right"/>
      <w:pPr>
        <w:ind w:left="740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95199"/>
    <w:rsid w:val="000023A9"/>
    <w:rsid w:val="000028D4"/>
    <w:rsid w:val="000030FA"/>
    <w:rsid w:val="0000395D"/>
    <w:rsid w:val="00010C34"/>
    <w:rsid w:val="000203C0"/>
    <w:rsid w:val="000204FB"/>
    <w:rsid w:val="00021482"/>
    <w:rsid w:val="000402EA"/>
    <w:rsid w:val="00057A5F"/>
    <w:rsid w:val="00065F69"/>
    <w:rsid w:val="00077B54"/>
    <w:rsid w:val="0008267D"/>
    <w:rsid w:val="00085EED"/>
    <w:rsid w:val="0009562D"/>
    <w:rsid w:val="000A17F8"/>
    <w:rsid w:val="000B1B7B"/>
    <w:rsid w:val="000B5305"/>
    <w:rsid w:val="000B7213"/>
    <w:rsid w:val="000C4A66"/>
    <w:rsid w:val="000D4355"/>
    <w:rsid w:val="000D696E"/>
    <w:rsid w:val="000E5CD2"/>
    <w:rsid w:val="0010517E"/>
    <w:rsid w:val="00113E41"/>
    <w:rsid w:val="001205B3"/>
    <w:rsid w:val="0012405E"/>
    <w:rsid w:val="00126992"/>
    <w:rsid w:val="00132B70"/>
    <w:rsid w:val="0014358C"/>
    <w:rsid w:val="0014365D"/>
    <w:rsid w:val="001443D6"/>
    <w:rsid w:val="001552DC"/>
    <w:rsid w:val="00162AED"/>
    <w:rsid w:val="001674A2"/>
    <w:rsid w:val="001817EF"/>
    <w:rsid w:val="001B5E4E"/>
    <w:rsid w:val="001B7971"/>
    <w:rsid w:val="001C234D"/>
    <w:rsid w:val="001D736B"/>
    <w:rsid w:val="001E538C"/>
    <w:rsid w:val="001F30E9"/>
    <w:rsid w:val="001F6FD4"/>
    <w:rsid w:val="00200CC6"/>
    <w:rsid w:val="0020303B"/>
    <w:rsid w:val="0020321F"/>
    <w:rsid w:val="00211368"/>
    <w:rsid w:val="00213299"/>
    <w:rsid w:val="00220180"/>
    <w:rsid w:val="00231265"/>
    <w:rsid w:val="00235834"/>
    <w:rsid w:val="00244E42"/>
    <w:rsid w:val="002554F8"/>
    <w:rsid w:val="0025583B"/>
    <w:rsid w:val="00261EF9"/>
    <w:rsid w:val="00264FAD"/>
    <w:rsid w:val="002743F3"/>
    <w:rsid w:val="0028216A"/>
    <w:rsid w:val="002826FB"/>
    <w:rsid w:val="00283115"/>
    <w:rsid w:val="0029231D"/>
    <w:rsid w:val="002B2FF9"/>
    <w:rsid w:val="002C19D3"/>
    <w:rsid w:val="002C7E07"/>
    <w:rsid w:val="002D2FF2"/>
    <w:rsid w:val="002D3E9B"/>
    <w:rsid w:val="00321F36"/>
    <w:rsid w:val="0034524D"/>
    <w:rsid w:val="00351980"/>
    <w:rsid w:val="003648C6"/>
    <w:rsid w:val="003757E2"/>
    <w:rsid w:val="003A04E5"/>
    <w:rsid w:val="003B1D51"/>
    <w:rsid w:val="003B70D5"/>
    <w:rsid w:val="003B7CCB"/>
    <w:rsid w:val="003C39D2"/>
    <w:rsid w:val="003D0F51"/>
    <w:rsid w:val="003F7BBB"/>
    <w:rsid w:val="00401147"/>
    <w:rsid w:val="004065AE"/>
    <w:rsid w:val="00406EA8"/>
    <w:rsid w:val="0041000A"/>
    <w:rsid w:val="00414555"/>
    <w:rsid w:val="004212A0"/>
    <w:rsid w:val="00423CF1"/>
    <w:rsid w:val="00423F27"/>
    <w:rsid w:val="00443BC3"/>
    <w:rsid w:val="00454290"/>
    <w:rsid w:val="00461814"/>
    <w:rsid w:val="00462CA8"/>
    <w:rsid w:val="0046771A"/>
    <w:rsid w:val="00477C44"/>
    <w:rsid w:val="0048040B"/>
    <w:rsid w:val="0048179F"/>
    <w:rsid w:val="004829FA"/>
    <w:rsid w:val="00494A3A"/>
    <w:rsid w:val="004A3905"/>
    <w:rsid w:val="004A4837"/>
    <w:rsid w:val="004B2C49"/>
    <w:rsid w:val="004B4685"/>
    <w:rsid w:val="004C69FE"/>
    <w:rsid w:val="004C6FAE"/>
    <w:rsid w:val="004F2F71"/>
    <w:rsid w:val="00500596"/>
    <w:rsid w:val="005008FC"/>
    <w:rsid w:val="00526C9E"/>
    <w:rsid w:val="005275CD"/>
    <w:rsid w:val="005441B8"/>
    <w:rsid w:val="00551711"/>
    <w:rsid w:val="00551FC2"/>
    <w:rsid w:val="00552084"/>
    <w:rsid w:val="0055235F"/>
    <w:rsid w:val="00554C10"/>
    <w:rsid w:val="00554E0C"/>
    <w:rsid w:val="00562D2E"/>
    <w:rsid w:val="00567C78"/>
    <w:rsid w:val="0057135A"/>
    <w:rsid w:val="00577693"/>
    <w:rsid w:val="00580B60"/>
    <w:rsid w:val="00594CD9"/>
    <w:rsid w:val="00595988"/>
    <w:rsid w:val="005C0191"/>
    <w:rsid w:val="005D19DC"/>
    <w:rsid w:val="005D657A"/>
    <w:rsid w:val="005D6E9B"/>
    <w:rsid w:val="005E0177"/>
    <w:rsid w:val="005E0A1C"/>
    <w:rsid w:val="005E54C0"/>
    <w:rsid w:val="005E6979"/>
    <w:rsid w:val="005F5CE3"/>
    <w:rsid w:val="00604BB7"/>
    <w:rsid w:val="00611A92"/>
    <w:rsid w:val="006277D2"/>
    <w:rsid w:val="00632A15"/>
    <w:rsid w:val="00634E63"/>
    <w:rsid w:val="00636771"/>
    <w:rsid w:val="006409C4"/>
    <w:rsid w:val="0066038D"/>
    <w:rsid w:val="006801DA"/>
    <w:rsid w:val="00684D1F"/>
    <w:rsid w:val="0068608A"/>
    <w:rsid w:val="00687060"/>
    <w:rsid w:val="00692CEA"/>
    <w:rsid w:val="006A0584"/>
    <w:rsid w:val="006B6EDF"/>
    <w:rsid w:val="006B7F0B"/>
    <w:rsid w:val="006C261A"/>
    <w:rsid w:val="006D00BC"/>
    <w:rsid w:val="006D3D67"/>
    <w:rsid w:val="006E1D28"/>
    <w:rsid w:val="006E1FF4"/>
    <w:rsid w:val="006F364A"/>
    <w:rsid w:val="00716B98"/>
    <w:rsid w:val="00720AB2"/>
    <w:rsid w:val="007439FE"/>
    <w:rsid w:val="00743F6F"/>
    <w:rsid w:val="00745C88"/>
    <w:rsid w:val="007503D1"/>
    <w:rsid w:val="00753146"/>
    <w:rsid w:val="00753AA5"/>
    <w:rsid w:val="00754B3A"/>
    <w:rsid w:val="007801CE"/>
    <w:rsid w:val="00782A81"/>
    <w:rsid w:val="00795A72"/>
    <w:rsid w:val="007A1F44"/>
    <w:rsid w:val="007A3AE3"/>
    <w:rsid w:val="007A7D91"/>
    <w:rsid w:val="007B2EBA"/>
    <w:rsid w:val="007C337B"/>
    <w:rsid w:val="007C4845"/>
    <w:rsid w:val="007C4DE7"/>
    <w:rsid w:val="007D32EC"/>
    <w:rsid w:val="007E1ED9"/>
    <w:rsid w:val="007F6985"/>
    <w:rsid w:val="00801590"/>
    <w:rsid w:val="008030E2"/>
    <w:rsid w:val="00803131"/>
    <w:rsid w:val="00814A2D"/>
    <w:rsid w:val="00821B18"/>
    <w:rsid w:val="00825E6E"/>
    <w:rsid w:val="00843BCC"/>
    <w:rsid w:val="00847811"/>
    <w:rsid w:val="00851555"/>
    <w:rsid w:val="00870E1B"/>
    <w:rsid w:val="0087259C"/>
    <w:rsid w:val="00883F65"/>
    <w:rsid w:val="0089620F"/>
    <w:rsid w:val="0089771A"/>
    <w:rsid w:val="008B1695"/>
    <w:rsid w:val="008B6D61"/>
    <w:rsid w:val="008C272D"/>
    <w:rsid w:val="008D7975"/>
    <w:rsid w:val="008E1922"/>
    <w:rsid w:val="008F0C18"/>
    <w:rsid w:val="009110BA"/>
    <w:rsid w:val="00927515"/>
    <w:rsid w:val="00930972"/>
    <w:rsid w:val="009362C3"/>
    <w:rsid w:val="00983ED5"/>
    <w:rsid w:val="00990331"/>
    <w:rsid w:val="00997100"/>
    <w:rsid w:val="009A382D"/>
    <w:rsid w:val="009B1286"/>
    <w:rsid w:val="009C0773"/>
    <w:rsid w:val="009C7F53"/>
    <w:rsid w:val="009D0E39"/>
    <w:rsid w:val="009D277C"/>
    <w:rsid w:val="009D50E6"/>
    <w:rsid w:val="009E38F7"/>
    <w:rsid w:val="00A0087C"/>
    <w:rsid w:val="00A008AD"/>
    <w:rsid w:val="00A04FF4"/>
    <w:rsid w:val="00A0611F"/>
    <w:rsid w:val="00A07128"/>
    <w:rsid w:val="00A11856"/>
    <w:rsid w:val="00A22195"/>
    <w:rsid w:val="00A27586"/>
    <w:rsid w:val="00A42238"/>
    <w:rsid w:val="00A44D09"/>
    <w:rsid w:val="00A548FA"/>
    <w:rsid w:val="00A67CDD"/>
    <w:rsid w:val="00A70325"/>
    <w:rsid w:val="00A838A2"/>
    <w:rsid w:val="00A84516"/>
    <w:rsid w:val="00A87C6C"/>
    <w:rsid w:val="00A901A8"/>
    <w:rsid w:val="00AA03D1"/>
    <w:rsid w:val="00AA17C2"/>
    <w:rsid w:val="00AC5875"/>
    <w:rsid w:val="00AD1865"/>
    <w:rsid w:val="00AD788D"/>
    <w:rsid w:val="00AF2594"/>
    <w:rsid w:val="00AF3801"/>
    <w:rsid w:val="00B12C3E"/>
    <w:rsid w:val="00B200CE"/>
    <w:rsid w:val="00B214A8"/>
    <w:rsid w:val="00B30FF1"/>
    <w:rsid w:val="00B313FB"/>
    <w:rsid w:val="00B31CC2"/>
    <w:rsid w:val="00B41B6E"/>
    <w:rsid w:val="00B41BA8"/>
    <w:rsid w:val="00B55B10"/>
    <w:rsid w:val="00B74489"/>
    <w:rsid w:val="00B940D4"/>
    <w:rsid w:val="00BA0F01"/>
    <w:rsid w:val="00BA4DDB"/>
    <w:rsid w:val="00BC11C2"/>
    <w:rsid w:val="00BC6461"/>
    <w:rsid w:val="00BD2DF8"/>
    <w:rsid w:val="00BE084C"/>
    <w:rsid w:val="00BE1591"/>
    <w:rsid w:val="00BE36A9"/>
    <w:rsid w:val="00BF4A9B"/>
    <w:rsid w:val="00BF547F"/>
    <w:rsid w:val="00BF594E"/>
    <w:rsid w:val="00BF79B4"/>
    <w:rsid w:val="00C06D86"/>
    <w:rsid w:val="00C26D93"/>
    <w:rsid w:val="00C30ABD"/>
    <w:rsid w:val="00C355EE"/>
    <w:rsid w:val="00C424DD"/>
    <w:rsid w:val="00C43920"/>
    <w:rsid w:val="00C56052"/>
    <w:rsid w:val="00C56B13"/>
    <w:rsid w:val="00C76456"/>
    <w:rsid w:val="00C77C5E"/>
    <w:rsid w:val="00C834EB"/>
    <w:rsid w:val="00C84ECD"/>
    <w:rsid w:val="00CC24F5"/>
    <w:rsid w:val="00CC45E0"/>
    <w:rsid w:val="00CC72E9"/>
    <w:rsid w:val="00CD680D"/>
    <w:rsid w:val="00CD6D55"/>
    <w:rsid w:val="00CE5EAF"/>
    <w:rsid w:val="00CF03F7"/>
    <w:rsid w:val="00CF5FCF"/>
    <w:rsid w:val="00D108E0"/>
    <w:rsid w:val="00D30B7C"/>
    <w:rsid w:val="00D4306F"/>
    <w:rsid w:val="00D4577A"/>
    <w:rsid w:val="00D46064"/>
    <w:rsid w:val="00D67D78"/>
    <w:rsid w:val="00D7245F"/>
    <w:rsid w:val="00D8135D"/>
    <w:rsid w:val="00D87EC6"/>
    <w:rsid w:val="00D91D1F"/>
    <w:rsid w:val="00D93D4B"/>
    <w:rsid w:val="00DB2878"/>
    <w:rsid w:val="00DB7D6F"/>
    <w:rsid w:val="00DC0B7B"/>
    <w:rsid w:val="00DD05B8"/>
    <w:rsid w:val="00DD6333"/>
    <w:rsid w:val="00DE1A4C"/>
    <w:rsid w:val="00DE3AEB"/>
    <w:rsid w:val="00DE677E"/>
    <w:rsid w:val="00DF3EB1"/>
    <w:rsid w:val="00DF6F5D"/>
    <w:rsid w:val="00E018FB"/>
    <w:rsid w:val="00E100AF"/>
    <w:rsid w:val="00E10A6C"/>
    <w:rsid w:val="00E14ECF"/>
    <w:rsid w:val="00E1624C"/>
    <w:rsid w:val="00E200B0"/>
    <w:rsid w:val="00E25AB5"/>
    <w:rsid w:val="00E6251E"/>
    <w:rsid w:val="00E62E37"/>
    <w:rsid w:val="00E70894"/>
    <w:rsid w:val="00E73A59"/>
    <w:rsid w:val="00E92E2D"/>
    <w:rsid w:val="00E93410"/>
    <w:rsid w:val="00E934A1"/>
    <w:rsid w:val="00E95199"/>
    <w:rsid w:val="00E953B3"/>
    <w:rsid w:val="00E95A94"/>
    <w:rsid w:val="00EA1E5F"/>
    <w:rsid w:val="00EA446C"/>
    <w:rsid w:val="00EA6521"/>
    <w:rsid w:val="00EA75FA"/>
    <w:rsid w:val="00EB39E6"/>
    <w:rsid w:val="00EB5EFE"/>
    <w:rsid w:val="00EC7302"/>
    <w:rsid w:val="00ED30A4"/>
    <w:rsid w:val="00EE270D"/>
    <w:rsid w:val="00EE6039"/>
    <w:rsid w:val="00EE6B1D"/>
    <w:rsid w:val="00EE6ECC"/>
    <w:rsid w:val="00EF365E"/>
    <w:rsid w:val="00F00E65"/>
    <w:rsid w:val="00F0486E"/>
    <w:rsid w:val="00F30952"/>
    <w:rsid w:val="00F37112"/>
    <w:rsid w:val="00F373DC"/>
    <w:rsid w:val="00F44DDC"/>
    <w:rsid w:val="00F50003"/>
    <w:rsid w:val="00F52AD5"/>
    <w:rsid w:val="00F552F2"/>
    <w:rsid w:val="00F56F7D"/>
    <w:rsid w:val="00F6496B"/>
    <w:rsid w:val="00F64A09"/>
    <w:rsid w:val="00F65A29"/>
    <w:rsid w:val="00F66ADE"/>
    <w:rsid w:val="00F70E90"/>
    <w:rsid w:val="00F8152E"/>
    <w:rsid w:val="00F86FFD"/>
    <w:rsid w:val="00F871C1"/>
    <w:rsid w:val="00F919C3"/>
    <w:rsid w:val="00F9289C"/>
    <w:rsid w:val="00FB07B7"/>
    <w:rsid w:val="00FC0ADA"/>
    <w:rsid w:val="00FC10D1"/>
    <w:rsid w:val="00FC5673"/>
    <w:rsid w:val="00FE29CA"/>
    <w:rsid w:val="00FE5E4C"/>
    <w:rsid w:val="00FE7695"/>
    <w:rsid w:val="00FF2E1C"/>
    <w:rsid w:val="00FF78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814"/>
    <w:pPr>
      <w:ind w:left="720"/>
      <w:contextualSpacing/>
    </w:pPr>
  </w:style>
  <w:style w:type="paragraph" w:styleId="Header">
    <w:name w:val="header"/>
    <w:basedOn w:val="Normal"/>
    <w:link w:val="HeaderChar"/>
    <w:uiPriority w:val="99"/>
    <w:semiHidden/>
    <w:unhideWhenUsed/>
    <w:rsid w:val="00B744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4489"/>
  </w:style>
  <w:style w:type="paragraph" w:styleId="Footer">
    <w:name w:val="footer"/>
    <w:basedOn w:val="Normal"/>
    <w:link w:val="FooterChar"/>
    <w:uiPriority w:val="99"/>
    <w:semiHidden/>
    <w:unhideWhenUsed/>
    <w:rsid w:val="00B744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4489"/>
  </w:style>
</w:styles>
</file>

<file path=word/webSettings.xml><?xml version="1.0" encoding="utf-8"?>
<w:webSettings xmlns:r="http://schemas.openxmlformats.org/officeDocument/2006/relationships" xmlns:w="http://schemas.openxmlformats.org/wordprocessingml/2006/main">
  <w:divs>
    <w:div w:id="89235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DA4CE-1AAF-4D0D-910C-73041B1FE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t1045</cp:lastModifiedBy>
  <cp:revision>315</cp:revision>
  <dcterms:created xsi:type="dcterms:W3CDTF">2016-09-30T10:43:00Z</dcterms:created>
  <dcterms:modified xsi:type="dcterms:W3CDTF">2017-01-16T04:39:00Z</dcterms:modified>
</cp:coreProperties>
</file>