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A7581D"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A7581D">
        <w:rPr>
          <w:rFonts w:asciiTheme="majorHAnsi" w:hAnsiTheme="majorHAnsi"/>
          <w:b/>
          <w:noProof/>
          <w:sz w:val="28"/>
          <w:szCs w:val="28"/>
          <w:lang w:val="en-IN" w:eastAsia="en-IN"/>
        </w:rPr>
        <w:tab/>
      </w:r>
      <w:r w:rsidRPr="00A7581D">
        <w:rPr>
          <w:rFonts w:asciiTheme="majorHAnsi" w:hAnsiTheme="majorHAnsi"/>
          <w:b/>
          <w:noProof/>
          <w:sz w:val="28"/>
          <w:szCs w:val="28"/>
          <w:lang w:val="en-IN" w:eastAsia="en-IN"/>
        </w:rPr>
        <w:tab/>
      </w:r>
      <w:r w:rsidRPr="00A7581D">
        <w:rPr>
          <w:rFonts w:asciiTheme="majorHAnsi" w:hAnsiTheme="majorHAnsi"/>
          <w:b/>
          <w:noProof/>
          <w:sz w:val="28"/>
          <w:szCs w:val="28"/>
          <w:lang w:val="en-IN" w:eastAsia="en-IN"/>
        </w:rPr>
        <w:tab/>
      </w:r>
      <w:r w:rsidR="00A320A7" w:rsidRPr="00A7581D">
        <w:rPr>
          <w:rFonts w:asciiTheme="majorHAnsi" w:hAnsiTheme="majorHAnsi"/>
          <w:b/>
          <w:noProof/>
          <w:sz w:val="28"/>
          <w:szCs w:val="28"/>
          <w:lang w:val="en-IN" w:eastAsia="en-IN"/>
        </w:rPr>
        <w:t>GST</w:t>
      </w:r>
      <w:r w:rsidR="00523F16" w:rsidRPr="00A7581D">
        <w:rPr>
          <w:rFonts w:asciiTheme="majorHAnsi" w:hAnsiTheme="majorHAnsi"/>
          <w:b/>
          <w:noProof/>
          <w:sz w:val="28"/>
          <w:szCs w:val="28"/>
          <w:lang w:val="en-IN" w:eastAsia="en-IN"/>
        </w:rPr>
        <w:t xml:space="preserve"> HEADLINES</w:t>
      </w:r>
    </w:p>
    <w:p w:rsidR="009E1F2A" w:rsidRPr="00A7581D" w:rsidRDefault="00327280" w:rsidP="00573995">
      <w:pPr>
        <w:pStyle w:val="NormalWeb"/>
        <w:spacing w:before="0" w:beforeAutospacing="0" w:after="120" w:afterAutospacing="0"/>
        <w:ind w:left="2880" w:right="180" w:firstLine="720"/>
        <w:rPr>
          <w:rFonts w:asciiTheme="majorHAnsi" w:hAnsiTheme="majorHAnsi" w:cs="Cambria"/>
          <w:b/>
          <w:bCs/>
          <w:iCs/>
          <w:lang w:val="en-IN"/>
        </w:rPr>
      </w:pPr>
      <w:r w:rsidRPr="00A7581D">
        <w:rPr>
          <w:rFonts w:asciiTheme="majorHAnsi" w:hAnsiTheme="majorHAnsi" w:cs="Cambria"/>
          <w:b/>
          <w:bCs/>
          <w:iCs/>
          <w:lang w:val="en-IN"/>
        </w:rPr>
        <w:t xml:space="preserve">  October 21</w:t>
      </w:r>
      <w:r w:rsidR="00B24FA7" w:rsidRPr="00A7581D">
        <w:rPr>
          <w:rFonts w:asciiTheme="majorHAnsi" w:hAnsiTheme="majorHAnsi" w:cs="Cambria"/>
          <w:b/>
          <w:bCs/>
          <w:iCs/>
          <w:lang w:val="en-IN"/>
        </w:rPr>
        <w:t xml:space="preserve">, </w:t>
      </w:r>
      <w:r w:rsidR="00110284" w:rsidRPr="00A7581D">
        <w:rPr>
          <w:rFonts w:asciiTheme="majorHAnsi" w:hAnsiTheme="majorHAnsi" w:cs="Cambria"/>
          <w:b/>
          <w:bCs/>
          <w:iCs/>
          <w:lang w:val="en-IN"/>
        </w:rPr>
        <w:t>2016</w:t>
      </w:r>
      <w:bookmarkStart w:id="0" w:name="_GoBack"/>
      <w:bookmarkEnd w:id="0"/>
    </w:p>
    <w:p w:rsidR="00653B03" w:rsidRDefault="00653B03" w:rsidP="00653B03">
      <w:pPr>
        <w:shd w:val="clear" w:color="auto" w:fill="FFFFFF"/>
        <w:spacing w:after="150"/>
        <w:outlineLvl w:val="0"/>
        <w:rPr>
          <w:rFonts w:asciiTheme="majorHAnsi" w:eastAsia="Times New Roman" w:hAnsiTheme="majorHAnsi"/>
          <w:b/>
          <w:bCs/>
          <w:kern w:val="36"/>
          <w:sz w:val="36"/>
          <w:szCs w:val="36"/>
          <w:lang w:val="en-IN" w:eastAsia="en-IN"/>
        </w:rPr>
      </w:pPr>
    </w:p>
    <w:p w:rsidR="006329B4" w:rsidRDefault="006329B4" w:rsidP="00653B03">
      <w:pPr>
        <w:shd w:val="clear" w:color="auto" w:fill="FFFFFF"/>
        <w:spacing w:after="150"/>
        <w:outlineLvl w:val="0"/>
        <w:rPr>
          <w:rFonts w:asciiTheme="majorHAnsi" w:eastAsia="Times New Roman" w:hAnsiTheme="majorHAnsi"/>
          <w:b/>
          <w:bCs/>
          <w:kern w:val="36"/>
          <w:sz w:val="36"/>
          <w:szCs w:val="36"/>
          <w:lang w:val="en-IN" w:eastAsia="en-IN"/>
        </w:rPr>
      </w:pPr>
    </w:p>
    <w:p w:rsidR="006329B4" w:rsidRPr="00A7581D" w:rsidRDefault="006329B4" w:rsidP="00653B03">
      <w:pPr>
        <w:shd w:val="clear" w:color="auto" w:fill="FFFFFF"/>
        <w:spacing w:after="150"/>
        <w:outlineLvl w:val="0"/>
        <w:rPr>
          <w:rFonts w:asciiTheme="majorHAnsi" w:eastAsia="Times New Roman" w:hAnsiTheme="majorHAnsi"/>
          <w:b/>
          <w:bCs/>
          <w:kern w:val="36"/>
          <w:sz w:val="36"/>
          <w:szCs w:val="36"/>
          <w:lang w:val="en-IN" w:eastAsia="en-IN"/>
        </w:rPr>
      </w:pPr>
    </w:p>
    <w:p w:rsidR="00327280" w:rsidRPr="00A14D6A" w:rsidRDefault="00327280" w:rsidP="00327280">
      <w:pPr>
        <w:rPr>
          <w:rFonts w:asciiTheme="majorHAnsi" w:eastAsia="Times New Roman" w:hAnsiTheme="majorHAnsi" w:cs="Arial"/>
          <w:b/>
          <w:bCs/>
          <w:sz w:val="32"/>
          <w:szCs w:val="32"/>
          <w:lang w:val="en-IN" w:eastAsia="en-IN"/>
        </w:rPr>
      </w:pPr>
      <w:r w:rsidRPr="00A14D6A">
        <w:rPr>
          <w:rFonts w:asciiTheme="majorHAnsi" w:eastAsia="Times New Roman" w:hAnsiTheme="majorHAnsi" w:cs="Arial"/>
          <w:b/>
          <w:bCs/>
          <w:sz w:val="32"/>
          <w:szCs w:val="32"/>
          <w:lang w:val="en-IN" w:eastAsia="en-IN"/>
        </w:rPr>
        <w:t xml:space="preserve">GST Council </w:t>
      </w:r>
      <w:r w:rsidR="006329B4" w:rsidRPr="00A14D6A">
        <w:rPr>
          <w:rFonts w:asciiTheme="majorHAnsi" w:eastAsia="Times New Roman" w:hAnsiTheme="majorHAnsi" w:cs="Arial"/>
          <w:b/>
          <w:bCs/>
          <w:sz w:val="32"/>
          <w:szCs w:val="32"/>
          <w:lang w:val="en-IN" w:eastAsia="en-IN"/>
        </w:rPr>
        <w:t xml:space="preserve">to </w:t>
      </w:r>
      <w:r w:rsidRPr="00A14D6A">
        <w:rPr>
          <w:rFonts w:asciiTheme="majorHAnsi" w:eastAsia="Times New Roman" w:hAnsiTheme="majorHAnsi" w:cs="Arial"/>
          <w:b/>
          <w:bCs/>
          <w:sz w:val="32"/>
          <w:szCs w:val="32"/>
          <w:lang w:val="en-IN" w:eastAsia="en-IN"/>
        </w:rPr>
        <w:t xml:space="preserve">Meet Again </w:t>
      </w:r>
      <w:r w:rsidR="006329B4" w:rsidRPr="00A14D6A">
        <w:rPr>
          <w:rFonts w:asciiTheme="majorHAnsi" w:eastAsia="Times New Roman" w:hAnsiTheme="majorHAnsi" w:cs="Arial"/>
          <w:b/>
          <w:bCs/>
          <w:sz w:val="32"/>
          <w:szCs w:val="32"/>
          <w:lang w:val="en-IN" w:eastAsia="en-IN"/>
        </w:rPr>
        <w:t xml:space="preserve">on </w:t>
      </w:r>
      <w:r w:rsidRPr="00A14D6A">
        <w:rPr>
          <w:rFonts w:asciiTheme="majorHAnsi" w:eastAsia="Times New Roman" w:hAnsiTheme="majorHAnsi" w:cs="Arial"/>
          <w:b/>
          <w:bCs/>
          <w:sz w:val="32"/>
          <w:szCs w:val="32"/>
          <w:lang w:val="en-IN" w:eastAsia="en-IN"/>
        </w:rPr>
        <w:t>November 3-4</w:t>
      </w:r>
    </w:p>
    <w:p w:rsidR="00327280" w:rsidRPr="00A14D6A" w:rsidRDefault="00327280" w:rsidP="006329B4">
      <w:pPr>
        <w:shd w:val="clear" w:color="auto" w:fill="FFFFFF"/>
        <w:spacing w:after="150"/>
        <w:ind w:left="5040" w:firstLine="720"/>
        <w:jc w:val="right"/>
        <w:outlineLvl w:val="0"/>
        <w:rPr>
          <w:rFonts w:asciiTheme="majorHAnsi" w:eastAsia="Times New Roman" w:hAnsiTheme="majorHAnsi"/>
          <w:b/>
          <w:bCs/>
          <w:i/>
          <w:kern w:val="36"/>
          <w:sz w:val="28"/>
          <w:szCs w:val="28"/>
          <w:lang w:val="en-IN" w:eastAsia="en-IN"/>
        </w:rPr>
      </w:pPr>
      <w:r w:rsidRPr="00A14D6A">
        <w:rPr>
          <w:rFonts w:asciiTheme="majorHAnsi" w:eastAsia="Times New Roman" w:hAnsiTheme="majorHAnsi"/>
          <w:b/>
          <w:bCs/>
          <w:i/>
          <w:kern w:val="36"/>
          <w:sz w:val="28"/>
          <w:szCs w:val="28"/>
          <w:lang w:val="en-IN" w:eastAsia="en-IN"/>
        </w:rPr>
        <w:t>[</w:t>
      </w:r>
      <w:r w:rsidR="006329B4" w:rsidRPr="00A14D6A">
        <w:rPr>
          <w:rFonts w:asciiTheme="majorHAnsi" w:eastAsia="Times New Roman" w:hAnsiTheme="majorHAnsi"/>
          <w:b/>
          <w:bCs/>
          <w:i/>
          <w:kern w:val="36"/>
          <w:sz w:val="28"/>
          <w:szCs w:val="28"/>
          <w:lang w:val="en-IN" w:eastAsia="en-IN"/>
        </w:rPr>
        <w:t>Source:</w:t>
      </w:r>
      <w:r w:rsidRPr="00A14D6A">
        <w:rPr>
          <w:rFonts w:asciiTheme="majorHAnsi" w:eastAsia="Times New Roman" w:hAnsiTheme="majorHAnsi"/>
          <w:b/>
          <w:bCs/>
          <w:i/>
          <w:kern w:val="36"/>
          <w:sz w:val="28"/>
          <w:szCs w:val="28"/>
          <w:lang w:val="en-IN" w:eastAsia="en-IN"/>
        </w:rPr>
        <w:t xml:space="preserve"> Doordarshan</w:t>
      </w:r>
      <w:r w:rsidR="00E33A15">
        <w:rPr>
          <w:rFonts w:asciiTheme="majorHAnsi" w:eastAsia="Times New Roman" w:hAnsiTheme="majorHAnsi"/>
          <w:b/>
          <w:bCs/>
          <w:i/>
          <w:kern w:val="36"/>
          <w:sz w:val="28"/>
          <w:szCs w:val="28"/>
          <w:lang w:val="en-IN" w:eastAsia="en-IN"/>
        </w:rPr>
        <w:t xml:space="preserve"> News</w:t>
      </w:r>
      <w:r w:rsidRPr="00A14D6A">
        <w:rPr>
          <w:rFonts w:asciiTheme="majorHAnsi" w:eastAsia="Times New Roman" w:hAnsiTheme="majorHAnsi"/>
          <w:b/>
          <w:bCs/>
          <w:i/>
          <w:kern w:val="36"/>
          <w:sz w:val="28"/>
          <w:szCs w:val="28"/>
          <w:lang w:val="en-IN" w:eastAsia="en-IN"/>
        </w:rPr>
        <w:t>]</w:t>
      </w:r>
    </w:p>
    <w:p w:rsidR="00327280" w:rsidRPr="00A14D6A" w:rsidRDefault="00327280" w:rsidP="00327280">
      <w:pPr>
        <w:shd w:val="clear" w:color="auto" w:fill="FFFFFF"/>
        <w:spacing w:after="150"/>
        <w:outlineLvl w:val="0"/>
        <w:rPr>
          <w:rFonts w:asciiTheme="majorHAnsi" w:eastAsia="Times New Roman" w:hAnsiTheme="majorHAnsi"/>
          <w:b/>
          <w:bCs/>
          <w:kern w:val="36"/>
          <w:sz w:val="32"/>
          <w:szCs w:val="32"/>
          <w:lang w:val="en-IN" w:eastAsia="en-IN"/>
        </w:rPr>
      </w:pPr>
    </w:p>
    <w:p w:rsidR="00327280" w:rsidRPr="00A14D6A" w:rsidRDefault="00327280" w:rsidP="00327280">
      <w:pPr>
        <w:shd w:val="clear" w:color="auto" w:fill="FFFFFF"/>
        <w:spacing w:after="150"/>
        <w:outlineLvl w:val="0"/>
        <w:rPr>
          <w:rFonts w:asciiTheme="majorHAnsi" w:eastAsia="Times New Roman" w:hAnsiTheme="majorHAnsi"/>
          <w:b/>
          <w:bCs/>
          <w:kern w:val="36"/>
          <w:sz w:val="32"/>
          <w:szCs w:val="32"/>
          <w:lang w:val="en-IN" w:eastAsia="en-IN"/>
        </w:rPr>
      </w:pPr>
      <w:r w:rsidRPr="00A14D6A">
        <w:rPr>
          <w:rFonts w:asciiTheme="majorHAnsi" w:eastAsia="Times New Roman" w:hAnsiTheme="majorHAnsi"/>
          <w:b/>
          <w:bCs/>
          <w:kern w:val="36"/>
          <w:sz w:val="32"/>
          <w:szCs w:val="32"/>
          <w:lang w:val="en-IN" w:eastAsia="en-IN"/>
        </w:rPr>
        <w:t xml:space="preserve">GST Council Eyes 16% Levy </w:t>
      </w:r>
      <w:r w:rsidR="006329B4" w:rsidRPr="00A14D6A">
        <w:rPr>
          <w:rFonts w:asciiTheme="majorHAnsi" w:eastAsia="Times New Roman" w:hAnsiTheme="majorHAnsi"/>
          <w:b/>
          <w:bCs/>
          <w:kern w:val="36"/>
          <w:sz w:val="32"/>
          <w:szCs w:val="32"/>
          <w:lang w:val="en-IN" w:eastAsia="en-IN"/>
        </w:rPr>
        <w:t xml:space="preserve">on </w:t>
      </w:r>
      <w:r w:rsidRPr="00A14D6A">
        <w:rPr>
          <w:rFonts w:asciiTheme="majorHAnsi" w:eastAsia="Times New Roman" w:hAnsiTheme="majorHAnsi"/>
          <w:b/>
          <w:bCs/>
          <w:kern w:val="36"/>
          <w:sz w:val="32"/>
          <w:szCs w:val="32"/>
          <w:lang w:val="en-IN" w:eastAsia="en-IN"/>
        </w:rPr>
        <w:t xml:space="preserve">Gold Jewellery </w:t>
      </w:r>
      <w:r w:rsidR="006329B4" w:rsidRPr="00A14D6A">
        <w:rPr>
          <w:rFonts w:asciiTheme="majorHAnsi" w:eastAsia="Times New Roman" w:hAnsiTheme="majorHAnsi"/>
          <w:b/>
          <w:bCs/>
          <w:kern w:val="36"/>
          <w:sz w:val="32"/>
          <w:szCs w:val="32"/>
          <w:lang w:val="en-IN" w:eastAsia="en-IN"/>
        </w:rPr>
        <w:t xml:space="preserve">and </w:t>
      </w:r>
      <w:r w:rsidRPr="00A14D6A">
        <w:rPr>
          <w:rFonts w:asciiTheme="majorHAnsi" w:eastAsia="Times New Roman" w:hAnsiTheme="majorHAnsi"/>
          <w:b/>
          <w:bCs/>
          <w:kern w:val="36"/>
          <w:sz w:val="32"/>
          <w:szCs w:val="32"/>
          <w:lang w:val="en-IN" w:eastAsia="en-IN"/>
        </w:rPr>
        <w:t xml:space="preserve">4% </w:t>
      </w:r>
      <w:r w:rsidR="006329B4" w:rsidRPr="00A14D6A">
        <w:rPr>
          <w:rFonts w:asciiTheme="majorHAnsi" w:eastAsia="Times New Roman" w:hAnsiTheme="majorHAnsi"/>
          <w:b/>
          <w:bCs/>
          <w:kern w:val="36"/>
          <w:sz w:val="32"/>
          <w:szCs w:val="32"/>
          <w:lang w:val="en-IN" w:eastAsia="en-IN"/>
        </w:rPr>
        <w:t xml:space="preserve">on </w:t>
      </w:r>
      <w:r w:rsidRPr="00A14D6A">
        <w:rPr>
          <w:rFonts w:asciiTheme="majorHAnsi" w:eastAsia="Times New Roman" w:hAnsiTheme="majorHAnsi"/>
          <w:b/>
          <w:bCs/>
          <w:kern w:val="36"/>
          <w:sz w:val="32"/>
          <w:szCs w:val="32"/>
          <w:lang w:val="en-IN" w:eastAsia="en-IN"/>
        </w:rPr>
        <w:t>Bullion</w:t>
      </w:r>
    </w:p>
    <w:p w:rsidR="00327280" w:rsidRPr="00A14D6A" w:rsidRDefault="00327280" w:rsidP="006329B4">
      <w:pPr>
        <w:shd w:val="clear" w:color="auto" w:fill="FFFFFF"/>
        <w:spacing w:after="150"/>
        <w:ind w:left="5760"/>
        <w:jc w:val="right"/>
        <w:outlineLvl w:val="0"/>
        <w:rPr>
          <w:rFonts w:asciiTheme="majorHAnsi" w:eastAsia="Times New Roman" w:hAnsiTheme="majorHAnsi"/>
          <w:b/>
          <w:bCs/>
          <w:i/>
          <w:kern w:val="36"/>
          <w:sz w:val="28"/>
          <w:szCs w:val="28"/>
          <w:lang w:val="en-IN" w:eastAsia="en-IN"/>
        </w:rPr>
      </w:pPr>
      <w:r w:rsidRPr="00A14D6A">
        <w:rPr>
          <w:rFonts w:asciiTheme="majorHAnsi" w:eastAsia="Times New Roman" w:hAnsiTheme="majorHAnsi"/>
          <w:b/>
          <w:bCs/>
          <w:i/>
          <w:kern w:val="36"/>
          <w:sz w:val="28"/>
          <w:szCs w:val="28"/>
          <w:lang w:val="en-IN" w:eastAsia="en-IN"/>
        </w:rPr>
        <w:t>[</w:t>
      </w:r>
      <w:r w:rsidR="006329B4" w:rsidRPr="00A14D6A">
        <w:rPr>
          <w:rFonts w:asciiTheme="majorHAnsi" w:eastAsia="Times New Roman" w:hAnsiTheme="majorHAnsi"/>
          <w:b/>
          <w:bCs/>
          <w:i/>
          <w:kern w:val="36"/>
          <w:sz w:val="28"/>
          <w:szCs w:val="28"/>
          <w:lang w:val="en-IN" w:eastAsia="en-IN"/>
        </w:rPr>
        <w:t>Source:</w:t>
      </w:r>
      <w:r w:rsidRPr="00A14D6A">
        <w:rPr>
          <w:rFonts w:asciiTheme="majorHAnsi" w:eastAsia="Times New Roman" w:hAnsiTheme="majorHAnsi"/>
          <w:b/>
          <w:bCs/>
          <w:i/>
          <w:kern w:val="36"/>
          <w:sz w:val="28"/>
          <w:szCs w:val="28"/>
          <w:lang w:val="en-IN" w:eastAsia="en-IN"/>
        </w:rPr>
        <w:t xml:space="preserve"> </w:t>
      </w:r>
      <w:r w:rsidR="006329B4">
        <w:rPr>
          <w:rFonts w:asciiTheme="majorHAnsi" w:eastAsia="Times New Roman" w:hAnsiTheme="majorHAnsi"/>
          <w:b/>
          <w:bCs/>
          <w:i/>
          <w:kern w:val="36"/>
          <w:sz w:val="28"/>
          <w:szCs w:val="28"/>
          <w:lang w:val="en-IN" w:eastAsia="en-IN"/>
        </w:rPr>
        <w:t xml:space="preserve">The </w:t>
      </w:r>
      <w:r w:rsidRPr="00A14D6A">
        <w:rPr>
          <w:rFonts w:asciiTheme="majorHAnsi" w:eastAsia="Times New Roman" w:hAnsiTheme="majorHAnsi"/>
          <w:b/>
          <w:bCs/>
          <w:i/>
          <w:kern w:val="36"/>
          <w:sz w:val="28"/>
          <w:szCs w:val="28"/>
          <w:lang w:val="en-IN" w:eastAsia="en-IN"/>
        </w:rPr>
        <w:t>Economic Times]</w:t>
      </w:r>
    </w:p>
    <w:p w:rsidR="00A14D6A" w:rsidRDefault="00A14D6A" w:rsidP="00327280">
      <w:pPr>
        <w:outlineLvl w:val="0"/>
        <w:rPr>
          <w:rFonts w:asciiTheme="majorHAnsi" w:eastAsia="Times New Roman" w:hAnsiTheme="majorHAnsi" w:cs="Arial"/>
          <w:b/>
          <w:bCs/>
          <w:kern w:val="36"/>
          <w:sz w:val="32"/>
          <w:szCs w:val="32"/>
          <w:lang w:val="en-IN" w:eastAsia="en-IN"/>
        </w:rPr>
      </w:pPr>
    </w:p>
    <w:p w:rsidR="00327280" w:rsidRPr="00327280" w:rsidRDefault="00327280" w:rsidP="00327280">
      <w:pPr>
        <w:outlineLvl w:val="0"/>
        <w:rPr>
          <w:rFonts w:asciiTheme="majorHAnsi" w:eastAsia="Times New Roman" w:hAnsiTheme="majorHAnsi" w:cs="Arial"/>
          <w:b/>
          <w:bCs/>
          <w:kern w:val="36"/>
          <w:sz w:val="32"/>
          <w:szCs w:val="32"/>
          <w:lang w:val="en-IN" w:eastAsia="en-IN"/>
        </w:rPr>
      </w:pPr>
      <w:r w:rsidRPr="00327280">
        <w:rPr>
          <w:rFonts w:asciiTheme="majorHAnsi" w:eastAsia="Times New Roman" w:hAnsiTheme="majorHAnsi" w:cs="Arial"/>
          <w:b/>
          <w:bCs/>
          <w:kern w:val="36"/>
          <w:sz w:val="32"/>
          <w:szCs w:val="32"/>
          <w:lang w:val="en-IN" w:eastAsia="en-IN"/>
        </w:rPr>
        <w:t xml:space="preserve">GST Council to </w:t>
      </w:r>
      <w:r w:rsidR="006329B4" w:rsidRPr="00327280">
        <w:rPr>
          <w:rFonts w:asciiTheme="majorHAnsi" w:eastAsia="Times New Roman" w:hAnsiTheme="majorHAnsi" w:cs="Arial"/>
          <w:b/>
          <w:bCs/>
          <w:kern w:val="36"/>
          <w:sz w:val="32"/>
          <w:szCs w:val="32"/>
          <w:lang w:val="en-IN" w:eastAsia="en-IN"/>
        </w:rPr>
        <w:t xml:space="preserve">Set Up Panel </w:t>
      </w:r>
      <w:r w:rsidRPr="00327280">
        <w:rPr>
          <w:rFonts w:asciiTheme="majorHAnsi" w:eastAsia="Times New Roman" w:hAnsiTheme="majorHAnsi" w:cs="Arial"/>
          <w:b/>
          <w:bCs/>
          <w:kern w:val="36"/>
          <w:sz w:val="32"/>
          <w:szCs w:val="32"/>
          <w:lang w:val="en-IN" w:eastAsia="en-IN"/>
        </w:rPr>
        <w:t xml:space="preserve">on </w:t>
      </w:r>
      <w:r w:rsidR="006329B4" w:rsidRPr="00327280">
        <w:rPr>
          <w:rFonts w:asciiTheme="majorHAnsi" w:eastAsia="Times New Roman" w:hAnsiTheme="majorHAnsi" w:cs="Arial"/>
          <w:b/>
          <w:bCs/>
          <w:kern w:val="36"/>
          <w:sz w:val="32"/>
          <w:szCs w:val="32"/>
          <w:lang w:val="en-IN" w:eastAsia="en-IN"/>
        </w:rPr>
        <w:t>Taxation</w:t>
      </w:r>
    </w:p>
    <w:p w:rsidR="00327280" w:rsidRPr="00A14D6A" w:rsidRDefault="00327280" w:rsidP="006329B4">
      <w:pPr>
        <w:shd w:val="clear" w:color="auto" w:fill="FFFFFF"/>
        <w:spacing w:after="150"/>
        <w:ind w:left="5040" w:firstLine="720"/>
        <w:jc w:val="right"/>
        <w:outlineLvl w:val="0"/>
        <w:rPr>
          <w:rFonts w:asciiTheme="majorHAnsi" w:eastAsia="Times New Roman" w:hAnsiTheme="majorHAnsi"/>
          <w:b/>
          <w:bCs/>
          <w:i/>
          <w:kern w:val="36"/>
          <w:sz w:val="28"/>
          <w:szCs w:val="28"/>
          <w:lang w:val="en-IN" w:eastAsia="en-IN"/>
        </w:rPr>
      </w:pPr>
      <w:r w:rsidRPr="00A14D6A">
        <w:rPr>
          <w:rFonts w:asciiTheme="majorHAnsi" w:eastAsia="Times New Roman" w:hAnsiTheme="majorHAnsi"/>
          <w:b/>
          <w:bCs/>
          <w:i/>
          <w:kern w:val="36"/>
          <w:sz w:val="28"/>
          <w:szCs w:val="28"/>
          <w:lang w:val="en-IN" w:eastAsia="en-IN"/>
        </w:rPr>
        <w:t>[</w:t>
      </w:r>
      <w:r w:rsidR="006329B4" w:rsidRPr="00A14D6A">
        <w:rPr>
          <w:rFonts w:asciiTheme="majorHAnsi" w:eastAsia="Times New Roman" w:hAnsiTheme="majorHAnsi"/>
          <w:b/>
          <w:bCs/>
          <w:i/>
          <w:kern w:val="36"/>
          <w:sz w:val="28"/>
          <w:szCs w:val="28"/>
          <w:lang w:val="en-IN" w:eastAsia="en-IN"/>
        </w:rPr>
        <w:t>Source:</w:t>
      </w:r>
      <w:r w:rsidRPr="00A14D6A">
        <w:rPr>
          <w:rFonts w:asciiTheme="majorHAnsi" w:eastAsia="Times New Roman" w:hAnsiTheme="majorHAnsi"/>
          <w:b/>
          <w:bCs/>
          <w:i/>
          <w:kern w:val="36"/>
          <w:sz w:val="28"/>
          <w:szCs w:val="28"/>
          <w:lang w:val="en-IN" w:eastAsia="en-IN"/>
        </w:rPr>
        <w:t xml:space="preserve"> Deccan Herald]</w:t>
      </w:r>
    </w:p>
    <w:p w:rsidR="00FB3409"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6329B4" w:rsidRDefault="006329B4" w:rsidP="006329B4">
      <w:pPr>
        <w:pStyle w:val="Heading1"/>
        <w:shd w:val="clear" w:color="auto" w:fill="FFFFFF"/>
        <w:spacing w:before="0" w:beforeAutospacing="0" w:after="0" w:afterAutospacing="0" w:line="750" w:lineRule="atLeast"/>
        <w:rPr>
          <w:rFonts w:asciiTheme="majorHAnsi" w:hAnsiTheme="majorHAnsi"/>
          <w:sz w:val="40"/>
          <w:szCs w:val="40"/>
        </w:rPr>
      </w:pPr>
    </w:p>
    <w:p w:rsidR="006329B4" w:rsidRDefault="006329B4" w:rsidP="006329B4">
      <w:pPr>
        <w:jc w:val="center"/>
        <w:rPr>
          <w:rFonts w:asciiTheme="majorHAnsi" w:eastAsia="Times New Roman" w:hAnsiTheme="majorHAnsi" w:cs="Arial"/>
          <w:b/>
          <w:bCs/>
          <w:sz w:val="36"/>
          <w:szCs w:val="36"/>
          <w:lang w:val="en-IN" w:eastAsia="en-IN"/>
        </w:rPr>
      </w:pPr>
    </w:p>
    <w:p w:rsidR="006329B4" w:rsidRDefault="006329B4" w:rsidP="006329B4">
      <w:pPr>
        <w:jc w:val="center"/>
        <w:rPr>
          <w:rFonts w:asciiTheme="majorHAnsi" w:eastAsia="Times New Roman" w:hAnsiTheme="majorHAnsi" w:cs="Arial"/>
          <w:b/>
          <w:bCs/>
          <w:sz w:val="36"/>
          <w:szCs w:val="36"/>
          <w:lang w:val="en-IN" w:eastAsia="en-IN"/>
        </w:rPr>
      </w:pPr>
      <w:r w:rsidRPr="006329B4">
        <w:rPr>
          <w:rFonts w:asciiTheme="majorHAnsi" w:eastAsia="Times New Roman" w:hAnsiTheme="majorHAnsi" w:cs="Arial"/>
          <w:b/>
          <w:bCs/>
          <w:sz w:val="36"/>
          <w:szCs w:val="36"/>
          <w:lang w:val="en-IN" w:eastAsia="en-IN"/>
        </w:rPr>
        <w:t>GST Council to Meet Again on November 3-4</w:t>
      </w:r>
    </w:p>
    <w:p w:rsidR="006329B4" w:rsidRDefault="006329B4" w:rsidP="006329B4">
      <w:pPr>
        <w:jc w:val="center"/>
        <w:rPr>
          <w:rFonts w:asciiTheme="majorHAnsi" w:eastAsia="Times New Roman" w:hAnsiTheme="majorHAnsi" w:cs="Arial"/>
          <w:b/>
          <w:bCs/>
          <w:sz w:val="36"/>
          <w:szCs w:val="36"/>
          <w:lang w:val="en-IN" w:eastAsia="en-IN"/>
        </w:rPr>
      </w:pPr>
    </w:p>
    <w:p w:rsidR="006329B4" w:rsidRPr="006329B4" w:rsidRDefault="006329B4" w:rsidP="006329B4">
      <w:pPr>
        <w:jc w:val="center"/>
        <w:rPr>
          <w:rFonts w:asciiTheme="majorHAnsi" w:eastAsia="Times New Roman" w:hAnsiTheme="majorHAnsi" w:cs="Arial"/>
          <w:b/>
          <w:bCs/>
          <w:sz w:val="36"/>
          <w:szCs w:val="36"/>
          <w:lang w:val="en-IN" w:eastAsia="en-IN"/>
        </w:rPr>
      </w:pPr>
    </w:p>
    <w:tbl>
      <w:tblPr>
        <w:tblW w:w="0" w:type="auto"/>
        <w:tblCellSpacing w:w="0" w:type="dxa"/>
        <w:shd w:val="clear" w:color="auto" w:fill="FDFDFD"/>
        <w:tblCellMar>
          <w:left w:w="0" w:type="dxa"/>
          <w:right w:w="0" w:type="dxa"/>
        </w:tblCellMar>
        <w:tblLook w:val="04A0"/>
      </w:tblPr>
      <w:tblGrid>
        <w:gridCol w:w="10253"/>
        <w:gridCol w:w="7"/>
      </w:tblGrid>
      <w:tr w:rsidR="00327280" w:rsidRPr="00A7581D" w:rsidTr="00D83976">
        <w:trPr>
          <w:tblCellSpacing w:w="0" w:type="dxa"/>
        </w:trPr>
        <w:tc>
          <w:tcPr>
            <w:tcW w:w="0" w:type="auto"/>
            <w:shd w:val="clear" w:color="auto" w:fill="FDFDFD"/>
            <w:hideMark/>
          </w:tcPr>
          <w:p w:rsidR="00327280" w:rsidRPr="00A7581D" w:rsidRDefault="00327280" w:rsidP="006329B4">
            <w:pPr>
              <w:spacing w:after="200" w:line="276" w:lineRule="auto"/>
              <w:rPr>
                <w:rFonts w:ascii="Arial" w:eastAsia="Times New Roman" w:hAnsi="Arial" w:cs="Arial"/>
                <w:sz w:val="18"/>
                <w:szCs w:val="18"/>
                <w:lang w:val="en-IN" w:eastAsia="en-IN"/>
              </w:rPr>
            </w:pPr>
          </w:p>
        </w:tc>
        <w:tc>
          <w:tcPr>
            <w:tcW w:w="0" w:type="auto"/>
            <w:shd w:val="clear" w:color="auto" w:fill="FDFDFD"/>
            <w:vAlign w:val="center"/>
            <w:hideMark/>
          </w:tcPr>
          <w:p w:rsidR="00327280" w:rsidRPr="00A7581D" w:rsidRDefault="00327280" w:rsidP="00D83976">
            <w:pPr>
              <w:rPr>
                <w:rFonts w:eastAsia="Times New Roman"/>
                <w:sz w:val="20"/>
                <w:szCs w:val="20"/>
                <w:lang w:val="en-IN" w:eastAsia="en-IN"/>
              </w:rPr>
            </w:pPr>
          </w:p>
        </w:tc>
      </w:tr>
      <w:tr w:rsidR="00327280" w:rsidRPr="00A7581D" w:rsidTr="00D83976">
        <w:trPr>
          <w:tblCellSpacing w:w="0" w:type="dxa"/>
        </w:trPr>
        <w:tc>
          <w:tcPr>
            <w:tcW w:w="0" w:type="auto"/>
            <w:shd w:val="clear" w:color="auto" w:fill="FDFDFD"/>
            <w:hideMark/>
          </w:tcPr>
          <w:tbl>
            <w:tblPr>
              <w:tblW w:w="5000" w:type="pct"/>
              <w:tblCellSpacing w:w="0" w:type="dxa"/>
              <w:tblCellMar>
                <w:left w:w="0" w:type="dxa"/>
                <w:right w:w="0" w:type="dxa"/>
              </w:tblCellMar>
              <w:tblLook w:val="04A0"/>
            </w:tblPr>
            <w:tblGrid>
              <w:gridCol w:w="10253"/>
            </w:tblGrid>
            <w:tr w:rsidR="00327280" w:rsidRPr="00A7581D" w:rsidTr="00D83976">
              <w:trPr>
                <w:tblCellSpacing w:w="0" w:type="dxa"/>
              </w:trPr>
              <w:tc>
                <w:tcPr>
                  <w:tcW w:w="0" w:type="auto"/>
                  <w:hideMark/>
                </w:tcPr>
                <w:p w:rsidR="006329B4" w:rsidRDefault="00327280" w:rsidP="006329B4">
                  <w:pPr>
                    <w:jc w:val="center"/>
                    <w:rPr>
                      <w:rFonts w:ascii="Arial" w:eastAsia="Times New Roman" w:hAnsi="Arial" w:cs="Arial"/>
                      <w:b/>
                      <w:bCs/>
                      <w:sz w:val="15"/>
                      <w:szCs w:val="15"/>
                      <w:lang w:val="en-IN" w:eastAsia="en-IN"/>
                    </w:rPr>
                  </w:pPr>
                  <w:r w:rsidRPr="00A7581D">
                    <w:rPr>
                      <w:rFonts w:ascii="Verdana" w:eastAsia="Times New Roman" w:hAnsi="Verdana"/>
                      <w:noProof/>
                      <w:sz w:val="16"/>
                      <w:szCs w:val="16"/>
                      <w:lang w:val="en-IN" w:eastAsia="en-IN"/>
                    </w:rPr>
                    <w:drawing>
                      <wp:inline distT="0" distB="0" distL="0" distR="0">
                        <wp:extent cx="4510768" cy="2428875"/>
                        <wp:effectExtent l="19050" t="0" r="4082" b="0"/>
                        <wp:docPr id="1" name="Picture 3" descr="GST council to meet again on November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 council to meet again on November 3-4"/>
                                <pic:cNvPicPr>
                                  <a:picLocks noChangeAspect="1" noChangeArrowheads="1"/>
                                </pic:cNvPicPr>
                              </pic:nvPicPr>
                              <pic:blipFill>
                                <a:blip r:embed="rId8"/>
                                <a:srcRect/>
                                <a:stretch>
                                  <a:fillRect/>
                                </a:stretch>
                              </pic:blipFill>
                              <pic:spPr bwMode="auto">
                                <a:xfrm>
                                  <a:off x="0" y="0"/>
                                  <a:ext cx="4510768" cy="2428875"/>
                                </a:xfrm>
                                <a:prstGeom prst="rect">
                                  <a:avLst/>
                                </a:prstGeom>
                                <a:noFill/>
                                <a:ln w="9525">
                                  <a:noFill/>
                                  <a:miter lim="800000"/>
                                  <a:headEnd/>
                                  <a:tailEnd/>
                                </a:ln>
                              </pic:spPr>
                            </pic:pic>
                          </a:graphicData>
                        </a:graphic>
                      </wp:inline>
                    </w:drawing>
                  </w:r>
                </w:p>
                <w:p w:rsidR="00327280" w:rsidRPr="00A7581D" w:rsidRDefault="00327280" w:rsidP="006329B4">
                  <w:pPr>
                    <w:rPr>
                      <w:rFonts w:ascii="Verdana" w:eastAsia="Times New Roman" w:hAnsi="Verdana"/>
                      <w:sz w:val="16"/>
                      <w:szCs w:val="16"/>
                      <w:lang w:val="en-IN" w:eastAsia="en-IN"/>
                    </w:rPr>
                  </w:pPr>
                  <w:r w:rsidRPr="00A7581D">
                    <w:rPr>
                      <w:rFonts w:ascii="Arial" w:eastAsia="Times New Roman" w:hAnsi="Arial" w:cs="Arial"/>
                      <w:b/>
                      <w:bCs/>
                      <w:sz w:val="15"/>
                      <w:szCs w:val="15"/>
                      <w:lang w:val="en-IN" w:eastAsia="en-IN"/>
                    </w:rPr>
                    <w:t>Updated on : 20-10-2016 06:43 PM</w:t>
                  </w:r>
                </w:p>
              </w:tc>
            </w:tr>
          </w:tbl>
          <w:p w:rsidR="00327280" w:rsidRPr="00A7581D" w:rsidRDefault="00327280" w:rsidP="00D83976">
            <w:pPr>
              <w:rPr>
                <w:rFonts w:ascii="Arial" w:eastAsia="Times New Roman" w:hAnsi="Arial" w:cs="Arial"/>
                <w:sz w:val="18"/>
                <w:szCs w:val="18"/>
                <w:lang w:val="en-IN" w:eastAsia="en-IN"/>
              </w:rPr>
            </w:pPr>
          </w:p>
        </w:tc>
        <w:tc>
          <w:tcPr>
            <w:tcW w:w="0" w:type="auto"/>
            <w:shd w:val="clear" w:color="auto" w:fill="FDFDFD"/>
            <w:vAlign w:val="center"/>
            <w:hideMark/>
          </w:tcPr>
          <w:p w:rsidR="00327280" w:rsidRPr="00A7581D" w:rsidRDefault="00327280" w:rsidP="00D83976">
            <w:pPr>
              <w:rPr>
                <w:rFonts w:eastAsia="Times New Roman"/>
                <w:sz w:val="20"/>
                <w:szCs w:val="20"/>
                <w:lang w:val="en-IN" w:eastAsia="en-IN"/>
              </w:rPr>
            </w:pPr>
          </w:p>
        </w:tc>
      </w:tr>
      <w:tr w:rsidR="00327280" w:rsidRPr="00A7581D" w:rsidTr="00D83976">
        <w:trPr>
          <w:tblCellSpacing w:w="0" w:type="dxa"/>
        </w:trPr>
        <w:tc>
          <w:tcPr>
            <w:tcW w:w="0" w:type="auto"/>
            <w:shd w:val="clear" w:color="auto" w:fill="FDFDFD"/>
            <w:hideMark/>
          </w:tcPr>
          <w:p w:rsidR="00327280" w:rsidRPr="00A7581D" w:rsidRDefault="00327280" w:rsidP="00D83976">
            <w:pPr>
              <w:jc w:val="both"/>
              <w:rPr>
                <w:rFonts w:ascii="Verdana" w:eastAsia="Times New Roman" w:hAnsi="Verdana" w:cs="Arial"/>
                <w:b/>
                <w:bCs/>
                <w:sz w:val="20"/>
                <w:szCs w:val="20"/>
                <w:lang w:val="en-IN" w:eastAsia="en-IN"/>
              </w:rPr>
            </w:pPr>
            <w:r w:rsidRPr="00A7581D">
              <w:rPr>
                <w:rFonts w:ascii="Verdana" w:eastAsia="Times New Roman" w:hAnsi="Verdana" w:cs="Arial"/>
                <w:b/>
                <w:bCs/>
                <w:sz w:val="20"/>
                <w:szCs w:val="20"/>
                <w:lang w:val="en-IN" w:eastAsia="en-IN"/>
              </w:rPr>
              <w:t>The third round of deliberations in the Goods and Services Tax Council ended in New Delhi, a day ahead of schedule, without a decision on rates structure.</w:t>
            </w:r>
            <w:r w:rsidRPr="00A7581D">
              <w:rPr>
                <w:rFonts w:ascii="Verdana" w:eastAsia="Times New Roman" w:hAnsi="Verdana" w:cs="Arial"/>
                <w:b/>
                <w:bCs/>
                <w:sz w:val="20"/>
                <w:lang w:val="en-IN" w:eastAsia="en-IN"/>
              </w:rPr>
              <w:t> </w:t>
            </w:r>
          </w:p>
          <w:p w:rsidR="00327280" w:rsidRPr="00A7581D" w:rsidRDefault="00327280" w:rsidP="00D83976">
            <w:pPr>
              <w:jc w:val="both"/>
              <w:rPr>
                <w:rFonts w:ascii="Verdana" w:eastAsia="Times New Roman" w:hAnsi="Verdana" w:cs="Arial"/>
                <w:b/>
                <w:bCs/>
                <w:sz w:val="20"/>
                <w:szCs w:val="20"/>
                <w:lang w:val="en-IN" w:eastAsia="en-IN"/>
              </w:rPr>
            </w:pPr>
          </w:p>
        </w:tc>
        <w:tc>
          <w:tcPr>
            <w:tcW w:w="0" w:type="auto"/>
            <w:shd w:val="clear" w:color="auto" w:fill="FDFDFD"/>
            <w:vAlign w:val="center"/>
            <w:hideMark/>
          </w:tcPr>
          <w:p w:rsidR="00327280" w:rsidRPr="00A7581D" w:rsidRDefault="00327280" w:rsidP="00D83976">
            <w:pPr>
              <w:rPr>
                <w:rFonts w:eastAsia="Times New Roman"/>
                <w:sz w:val="20"/>
                <w:szCs w:val="20"/>
                <w:lang w:val="en-IN" w:eastAsia="en-IN"/>
              </w:rPr>
            </w:pPr>
          </w:p>
        </w:tc>
      </w:tr>
      <w:tr w:rsidR="00327280" w:rsidRPr="008C7743" w:rsidTr="00D83976">
        <w:trPr>
          <w:tblCellSpacing w:w="0" w:type="dxa"/>
        </w:trPr>
        <w:tc>
          <w:tcPr>
            <w:tcW w:w="0" w:type="auto"/>
            <w:gridSpan w:val="2"/>
            <w:shd w:val="clear" w:color="auto" w:fill="FDFDFD"/>
            <w:vAlign w:val="center"/>
            <w:hideMark/>
          </w:tcPr>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The Council decided to discuss the rates structure in the next two meetings. The GST council will meet again in November to decide on a number of issues including rates.</w:t>
            </w:r>
          </w:p>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A decision on GST rate was put off to next month even as the Centre and states converged towards a consensus on levying a cess on luxury and sin goods.</w:t>
            </w:r>
          </w:p>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The cess would be used to compensate states for any loss of revenue they may suffer from implementation of Goods and Service Tax (GST) in first five years beginning April 1, 2017. </w:t>
            </w:r>
            <w:r w:rsidRPr="008C7743">
              <w:rPr>
                <w:rFonts w:asciiTheme="minorHAnsi" w:eastAsia="Times New Roman" w:hAnsiTheme="minorHAnsi" w:cs="Arial"/>
                <w:lang w:val="en-IN" w:eastAsia="en-IN"/>
              </w:rPr>
              <w:br/>
            </w:r>
            <w:r w:rsidRPr="008C7743">
              <w:rPr>
                <w:rFonts w:asciiTheme="minorHAnsi" w:eastAsia="Times New Roman" w:hAnsiTheme="minorHAnsi" w:cs="Arial"/>
                <w:lang w:val="en-IN" w:eastAsia="en-IN"/>
              </w:rPr>
              <w:br/>
              <w:t>An informal consensus was reached at the end of the two-day meeting of the GST Council on a four-slab tax structure of 6, 12, 18 and 26 per cent.</w:t>
            </w:r>
          </w:p>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The lower tariff will be for essential items and the highest bracket for luxury and sin goods like tobacco, cigarettes and alcohol, but a decision was put off to the next meeting.</w:t>
            </w:r>
          </w:p>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Center is in favour of funding the compensation through cess. It finds cess a better way to compensate states than hike tax rates as it will impact the common man.</w:t>
            </w:r>
          </w:p>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States have by and large converged towards consensus on source of funding for state compensation. </w:t>
            </w:r>
            <w:r w:rsidRPr="008C7743">
              <w:rPr>
                <w:rFonts w:asciiTheme="minorHAnsi" w:eastAsia="Times New Roman" w:hAnsiTheme="minorHAnsi" w:cs="Arial"/>
                <w:lang w:val="en-IN" w:eastAsia="en-IN"/>
              </w:rPr>
              <w:br/>
            </w:r>
            <w:r w:rsidRPr="008C7743">
              <w:rPr>
                <w:rFonts w:asciiTheme="minorHAnsi" w:eastAsia="Times New Roman" w:hAnsiTheme="minorHAnsi" w:cs="Arial"/>
                <w:lang w:val="en-IN" w:eastAsia="en-IN"/>
              </w:rPr>
              <w:br/>
              <w:t>Entire proceeds from compensation cess will go to states and this compensation cess is likely to last for just 5 years.</w:t>
            </w:r>
          </w:p>
          <w:p w:rsidR="006329B4" w:rsidRDefault="006329B4" w:rsidP="008C7743">
            <w:pPr>
              <w:spacing w:line="360" w:lineRule="auto"/>
              <w:jc w:val="both"/>
              <w:rPr>
                <w:rFonts w:asciiTheme="minorHAnsi" w:eastAsia="Times New Roman" w:hAnsiTheme="minorHAnsi" w:cs="Arial"/>
                <w:lang w:val="en-IN" w:eastAsia="en-IN"/>
              </w:rPr>
            </w:pPr>
          </w:p>
          <w:p w:rsidR="006329B4"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t>GST Council, that includes representatives of all states, will meet again on November 3-4 to decide on the tax rates. The GST Council, which was originally to meet for three days converged towards a consensus on source of funding for state compensation.</w:t>
            </w:r>
          </w:p>
          <w:p w:rsidR="00327280" w:rsidRPr="008C7743" w:rsidRDefault="00327280" w:rsidP="008C7743">
            <w:pPr>
              <w:spacing w:line="360" w:lineRule="auto"/>
              <w:jc w:val="both"/>
              <w:rPr>
                <w:rFonts w:asciiTheme="minorHAnsi" w:eastAsia="Times New Roman" w:hAnsiTheme="minorHAnsi" w:cs="Arial"/>
                <w:lang w:val="en-IN" w:eastAsia="en-IN"/>
              </w:rPr>
            </w:pPr>
            <w:r w:rsidRPr="008C7743">
              <w:rPr>
                <w:rFonts w:asciiTheme="minorHAnsi" w:eastAsia="Times New Roman" w:hAnsiTheme="minorHAnsi" w:cs="Arial"/>
                <w:lang w:val="en-IN" w:eastAsia="en-IN"/>
              </w:rPr>
              <w:br/>
              <w:t>Once the GST rates are decided, the GST Council will meet again on November 9-10 to finalise the draft legislation.</w:t>
            </w:r>
            <w:r w:rsidRPr="008C7743">
              <w:rPr>
                <w:rFonts w:asciiTheme="minorHAnsi" w:eastAsia="Times New Roman" w:hAnsiTheme="minorHAnsi" w:cs="Arial"/>
                <w:lang w:val="en-IN" w:eastAsia="en-IN"/>
              </w:rPr>
              <w:br/>
            </w:r>
            <w:r w:rsidRPr="008C7743">
              <w:rPr>
                <w:rFonts w:asciiTheme="minorHAnsi" w:eastAsia="Times New Roman" w:hAnsiTheme="minorHAnsi" w:cs="Arial"/>
                <w:lang w:val="en-IN" w:eastAsia="en-IN"/>
              </w:rPr>
              <w:br/>
              <w:t>The October 18, 19 meet was the 3rd meet of GST council. The council met twice in September during which it decided draft rules relating to registration, invoice and payment and threshold level for GST implementation.</w:t>
            </w:r>
            <w:r w:rsidRPr="008C7743">
              <w:rPr>
                <w:rFonts w:asciiTheme="minorHAnsi" w:eastAsia="Times New Roman" w:hAnsiTheme="minorHAnsi" w:cs="Arial"/>
                <w:lang w:val="en-IN" w:eastAsia="en-IN"/>
              </w:rPr>
              <w:br/>
            </w:r>
            <w:r w:rsidRPr="008C7743">
              <w:rPr>
                <w:rFonts w:asciiTheme="minorHAnsi" w:eastAsia="Times New Roman" w:hAnsiTheme="minorHAnsi" w:cs="Arial"/>
                <w:lang w:val="en-IN" w:eastAsia="en-IN"/>
              </w:rPr>
              <w:br/>
              <w:t>The government aims to implement the new indirect tax regime Goods and Services Tax (GST) from April 1, 2017.</w:t>
            </w:r>
          </w:p>
        </w:tc>
      </w:tr>
    </w:tbl>
    <w:p w:rsidR="00327280" w:rsidRPr="008C7743" w:rsidRDefault="00327280" w:rsidP="008C7743">
      <w:pPr>
        <w:pStyle w:val="Heading1"/>
        <w:shd w:val="clear" w:color="auto" w:fill="FFFFFF"/>
        <w:spacing w:before="0" w:beforeAutospacing="0" w:after="150" w:afterAutospacing="0" w:line="360" w:lineRule="auto"/>
        <w:jc w:val="both"/>
        <w:rPr>
          <w:rFonts w:asciiTheme="minorHAnsi" w:hAnsiTheme="minorHAnsi"/>
          <w:sz w:val="24"/>
          <w:szCs w:val="24"/>
        </w:rPr>
      </w:pPr>
    </w:p>
    <w:p w:rsidR="00327280" w:rsidRPr="00A7581D" w:rsidRDefault="00327280" w:rsidP="00327280">
      <w:pPr>
        <w:pStyle w:val="Heading1"/>
        <w:shd w:val="clear" w:color="auto" w:fill="FFFFFF"/>
        <w:spacing w:before="0" w:beforeAutospacing="0" w:after="150" w:afterAutospacing="0"/>
        <w:rPr>
          <w:rFonts w:ascii="Georgia" w:hAnsi="Georgia"/>
          <w:sz w:val="36"/>
          <w:szCs w:val="36"/>
        </w:rPr>
      </w:pPr>
    </w:p>
    <w:p w:rsidR="006329B4" w:rsidRDefault="006329B4" w:rsidP="00327280">
      <w:pPr>
        <w:shd w:val="clear" w:color="auto" w:fill="FFFFFF"/>
        <w:spacing w:after="150"/>
        <w:outlineLvl w:val="0"/>
        <w:rPr>
          <w:rFonts w:asciiTheme="majorHAnsi" w:eastAsia="Times New Roman" w:hAnsiTheme="majorHAnsi"/>
          <w:b/>
          <w:bCs/>
          <w:kern w:val="36"/>
          <w:sz w:val="36"/>
          <w:szCs w:val="36"/>
          <w:lang w:val="en-IN" w:eastAsia="en-IN"/>
        </w:rPr>
      </w:pPr>
    </w:p>
    <w:p w:rsidR="00AE74E3" w:rsidRDefault="00AE74E3" w:rsidP="00327280">
      <w:pPr>
        <w:shd w:val="clear" w:color="auto" w:fill="FFFFFF"/>
        <w:spacing w:after="150"/>
        <w:outlineLvl w:val="0"/>
        <w:rPr>
          <w:rFonts w:asciiTheme="majorHAnsi" w:eastAsia="Times New Roman" w:hAnsiTheme="majorHAnsi"/>
          <w:b/>
          <w:bCs/>
          <w:kern w:val="36"/>
          <w:sz w:val="36"/>
          <w:szCs w:val="36"/>
          <w:lang w:val="en-IN" w:eastAsia="en-IN"/>
        </w:rPr>
      </w:pPr>
    </w:p>
    <w:p w:rsidR="00A7581D" w:rsidRPr="00A7581D" w:rsidRDefault="006329B4" w:rsidP="00A7581D">
      <w:pPr>
        <w:outlineLvl w:val="0"/>
        <w:rPr>
          <w:rFonts w:ascii="Arial" w:eastAsia="Times New Roman" w:hAnsi="Arial" w:cs="Arial"/>
          <w:b/>
          <w:bCs/>
          <w:kern w:val="36"/>
          <w:sz w:val="39"/>
          <w:szCs w:val="39"/>
          <w:lang w:val="en-IN" w:eastAsia="en-IN"/>
        </w:rPr>
      </w:pPr>
      <w:r>
        <w:rPr>
          <w:rFonts w:ascii="Georgia" w:eastAsia="Times New Roman" w:hAnsi="Georgia"/>
          <w:b/>
          <w:bCs/>
          <w:noProof/>
          <w:kern w:val="36"/>
          <w:sz w:val="36"/>
          <w:szCs w:val="36"/>
          <w:lang w:val="en-IN" w:eastAsia="en-IN"/>
        </w:rPr>
        <w:drawing>
          <wp:inline distT="0" distB="0" distL="0" distR="0">
            <wp:extent cx="6511132" cy="3076575"/>
            <wp:effectExtent l="19050" t="0" r="396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15100" cy="3078450"/>
                    </a:xfrm>
                    <a:prstGeom prst="rect">
                      <a:avLst/>
                    </a:prstGeom>
                    <a:noFill/>
                    <a:ln w="9525">
                      <a:noFill/>
                      <a:miter lim="800000"/>
                      <a:headEnd/>
                      <a:tailEnd/>
                    </a:ln>
                  </pic:spPr>
                </pic:pic>
              </a:graphicData>
            </a:graphic>
          </wp:inline>
        </w:drawing>
      </w: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A7581D">
      <w:pPr>
        <w:outlineLvl w:val="0"/>
        <w:rPr>
          <w:rFonts w:asciiTheme="majorHAnsi" w:eastAsia="Times New Roman" w:hAnsiTheme="majorHAnsi" w:cs="Arial"/>
          <w:b/>
          <w:bCs/>
          <w:kern w:val="36"/>
          <w:sz w:val="36"/>
          <w:szCs w:val="36"/>
          <w:lang w:val="en-IN" w:eastAsia="en-IN"/>
        </w:rPr>
      </w:pPr>
    </w:p>
    <w:p w:rsidR="006329B4" w:rsidRDefault="006329B4" w:rsidP="006329B4">
      <w:pPr>
        <w:spacing w:after="200" w:line="360" w:lineRule="auto"/>
        <w:jc w:val="center"/>
        <w:rPr>
          <w:rFonts w:asciiTheme="majorHAnsi" w:eastAsia="Times New Roman" w:hAnsiTheme="majorHAnsi" w:cs="Arial"/>
          <w:b/>
          <w:bCs/>
          <w:kern w:val="36"/>
          <w:sz w:val="36"/>
          <w:szCs w:val="36"/>
          <w:lang w:eastAsia="en-IN"/>
        </w:rPr>
      </w:pPr>
      <w:r w:rsidRPr="006329B4">
        <w:rPr>
          <w:rFonts w:asciiTheme="majorHAnsi" w:eastAsia="Times New Roman" w:hAnsiTheme="majorHAnsi" w:cs="Arial"/>
          <w:b/>
          <w:bCs/>
          <w:kern w:val="36"/>
          <w:sz w:val="36"/>
          <w:szCs w:val="36"/>
          <w:lang w:val="en-IN" w:eastAsia="en-IN"/>
        </w:rPr>
        <w:t>GST Council to Set Up Panel on Taxation</w:t>
      </w:r>
    </w:p>
    <w:p w:rsidR="006329B4" w:rsidRDefault="00A7581D" w:rsidP="008C7743">
      <w:pPr>
        <w:spacing w:after="200" w:line="360" w:lineRule="auto"/>
        <w:jc w:val="both"/>
        <w:rPr>
          <w:rFonts w:asciiTheme="minorHAnsi" w:hAnsiTheme="minorHAnsi" w:cs="Arial"/>
        </w:rPr>
      </w:pPr>
      <w:r w:rsidRPr="008C7743">
        <w:rPr>
          <w:rStyle w:val="Strong"/>
          <w:rFonts w:asciiTheme="minorHAnsi" w:hAnsiTheme="minorHAnsi" w:cs="Arial"/>
        </w:rPr>
        <w:t>To deal with complex tax issues, the GST Council will set up technical Committee of Officers on taxation.</w:t>
      </w:r>
      <w:r w:rsidRPr="008C7743">
        <w:rPr>
          <w:rFonts w:asciiTheme="minorHAnsi" w:hAnsiTheme="minorHAnsi" w:cs="Arial"/>
        </w:rPr>
        <w:br/>
      </w:r>
      <w:r w:rsidRPr="008C7743">
        <w:rPr>
          <w:rFonts w:asciiTheme="minorHAnsi" w:hAnsiTheme="minorHAnsi" w:cs="Arial"/>
        </w:rPr>
        <w:br/>
        <w:t> States will be allowed to join the committee on voluntary basis. The committee will give inputs to the GST Council on taxation whose decision will be final.   “There are many technical issues of taxation which would come before the GST Council for decision… Many of these issues will require technical inputs from officers having domain knowledge in taxation,” said an official privy to the development.</w:t>
      </w:r>
      <w:r w:rsidRPr="008C7743">
        <w:rPr>
          <w:rFonts w:asciiTheme="minorHAnsi" w:hAnsiTheme="minorHAnsi" w:cs="Arial"/>
        </w:rPr>
        <w:br/>
      </w:r>
      <w:r w:rsidRPr="008C7743">
        <w:rPr>
          <w:rFonts w:asciiTheme="minorHAnsi" w:hAnsiTheme="minorHAnsi" w:cs="Arial"/>
        </w:rPr>
        <w:br/>
        <w:t xml:space="preserve"> He said the technical committee of officers will explore all policy options on the taxation issues and present them before the GST Council with relative merits and demerits. The ultimate decision on these options will rest with the Council. India’s biggest indirect tax reform since independence that seeks to create a uniform tax structure for the whole </w:t>
      </w:r>
      <w:r w:rsidR="006329B4" w:rsidRPr="008C7743">
        <w:rPr>
          <w:rFonts w:asciiTheme="minorHAnsi" w:hAnsiTheme="minorHAnsi" w:cs="Arial"/>
        </w:rPr>
        <w:t>country</w:t>
      </w:r>
      <w:r w:rsidRPr="008C7743">
        <w:rPr>
          <w:rFonts w:asciiTheme="minorHAnsi" w:hAnsiTheme="minorHAnsi" w:cs="Arial"/>
        </w:rPr>
        <w:t xml:space="preserve"> will subsume at least 12 types of indirect taxes levied by the Centre and the states into itself.</w:t>
      </w:r>
    </w:p>
    <w:p w:rsidR="006329B4" w:rsidRDefault="00A7581D" w:rsidP="008C7743">
      <w:pPr>
        <w:spacing w:after="200" w:line="360" w:lineRule="auto"/>
        <w:jc w:val="both"/>
        <w:rPr>
          <w:rStyle w:val="Strong"/>
          <w:rFonts w:asciiTheme="minorHAnsi" w:hAnsiTheme="minorHAnsi" w:cs="Arial"/>
        </w:rPr>
      </w:pPr>
      <w:r w:rsidRPr="008C7743">
        <w:rPr>
          <w:rStyle w:val="Strong"/>
          <w:rFonts w:asciiTheme="minorHAnsi" w:hAnsiTheme="minorHAnsi" w:cs="Arial"/>
        </w:rPr>
        <w:t>GST may make oil dearer</w:t>
      </w:r>
    </w:p>
    <w:p w:rsidR="006329B4" w:rsidRDefault="00A7581D" w:rsidP="008C7743">
      <w:pPr>
        <w:spacing w:after="200" w:line="360" w:lineRule="auto"/>
        <w:jc w:val="both"/>
        <w:rPr>
          <w:rFonts w:asciiTheme="minorHAnsi" w:hAnsiTheme="minorHAnsi" w:cs="Arial"/>
        </w:rPr>
      </w:pPr>
      <w:r w:rsidRPr="008C7743">
        <w:rPr>
          <w:rFonts w:asciiTheme="minorHAnsi" w:hAnsiTheme="minorHAnsi" w:cs="Arial"/>
        </w:rPr>
        <w:t>The proposed 4-tier GST structure may hit the common man as it is likely to result in higher taxes on various items including kitchen staples such as edible oils, spices and chicken.</w:t>
      </w:r>
      <w:r w:rsidR="006329B4">
        <w:rPr>
          <w:rFonts w:asciiTheme="minorHAnsi" w:hAnsiTheme="minorHAnsi" w:cs="Arial"/>
        </w:rPr>
        <w:t xml:space="preserve"> </w:t>
      </w:r>
      <w:r w:rsidRPr="008C7743">
        <w:rPr>
          <w:rFonts w:asciiTheme="minorHAnsi" w:hAnsiTheme="minorHAnsi" w:cs="Arial"/>
        </w:rPr>
        <w:t>The prices of certain consumer durables like televisions, air conditioners, fridges and washing machines may however become cheaper with decrease in taxes.</w:t>
      </w:r>
    </w:p>
    <w:p w:rsidR="00922899" w:rsidRDefault="00A7581D" w:rsidP="008C7743">
      <w:pPr>
        <w:spacing w:after="200" w:line="360" w:lineRule="auto"/>
        <w:jc w:val="both"/>
        <w:rPr>
          <w:rStyle w:val="apple-converted-space"/>
          <w:rFonts w:asciiTheme="minorHAnsi" w:hAnsiTheme="minorHAnsi" w:cs="Arial"/>
        </w:rPr>
      </w:pPr>
      <w:r w:rsidRPr="008C7743">
        <w:rPr>
          <w:rFonts w:asciiTheme="minorHAnsi" w:hAnsiTheme="minorHAnsi" w:cs="Arial"/>
        </w:rPr>
        <w:t>The government plans to roll out the new indirect tax regime, Goods and Services Tax (GST), from April 1, 2017. In its meeting with states this week, the Centre has proposed a four slab GST rate structure. The lowest rate proposed is 6%, with two standard rates of 12% and 18%. The peak rate, which will mostly apply to FMCG and consumer durables, will be 26%.</w:t>
      </w:r>
      <w:r w:rsidRPr="008C7743">
        <w:rPr>
          <w:rStyle w:val="apple-converted-space"/>
          <w:rFonts w:asciiTheme="minorHAnsi" w:hAnsiTheme="minorHAnsi" w:cs="Arial"/>
        </w:rPr>
        <w:t> </w:t>
      </w:r>
    </w:p>
    <w:p w:rsidR="006329B4" w:rsidRDefault="006329B4" w:rsidP="008C7743">
      <w:pPr>
        <w:spacing w:after="200" w:line="360" w:lineRule="auto"/>
        <w:jc w:val="both"/>
        <w:rPr>
          <w:rStyle w:val="apple-converted-space"/>
          <w:rFonts w:asciiTheme="minorHAnsi" w:hAnsiTheme="minorHAnsi" w:cs="Arial"/>
        </w:rPr>
      </w:pPr>
    </w:p>
    <w:p w:rsidR="006329B4" w:rsidRPr="008C7743" w:rsidRDefault="006329B4" w:rsidP="008C7743">
      <w:pPr>
        <w:spacing w:after="200" w:line="360" w:lineRule="auto"/>
        <w:jc w:val="both"/>
        <w:rPr>
          <w:rFonts w:asciiTheme="minorHAnsi" w:hAnsiTheme="minorHAnsi" w:cs="Arial"/>
          <w:i/>
        </w:rPr>
      </w:pPr>
    </w:p>
    <w:p w:rsidR="006B2627" w:rsidRPr="00A7581D" w:rsidRDefault="006329B4" w:rsidP="00807BD5">
      <w:pPr>
        <w:spacing w:after="200" w:line="276" w:lineRule="auto"/>
        <w:jc w:val="both"/>
        <w:rPr>
          <w:rFonts w:ascii="Arial" w:hAnsi="Arial" w:cs="Arial"/>
          <w:b/>
          <w:bCs/>
          <w:iCs/>
          <w:color w:val="0070C0"/>
          <w:sz w:val="20"/>
          <w:szCs w:val="20"/>
          <w:lang w:val="en-IN"/>
        </w:rPr>
      </w:pPr>
      <w:r>
        <w:rPr>
          <w:rFonts w:ascii="Arial" w:hAnsi="Arial" w:cs="Arial"/>
          <w:i/>
          <w:color w:val="0070C0"/>
          <w:sz w:val="20"/>
          <w:szCs w:val="20"/>
        </w:rPr>
        <w:t>Disclaimer</w:t>
      </w:r>
      <w:r w:rsidR="008B49AA" w:rsidRPr="00A7581D">
        <w:rPr>
          <w:rFonts w:ascii="Arial" w:hAnsi="Arial" w:cs="Arial"/>
          <w:i/>
          <w:color w:val="0070C0"/>
          <w:sz w:val="20"/>
          <w:szCs w:val="20"/>
        </w:rPr>
        <w:t xml:space="preserve">: </w:t>
      </w:r>
      <w:r w:rsidR="003B67AE" w:rsidRPr="00A7581D">
        <w:rPr>
          <w:rFonts w:ascii="Arial" w:hAnsi="Arial" w:cs="Arial"/>
          <w:i/>
          <w:color w:val="0070C0"/>
          <w:sz w:val="20"/>
          <w:szCs w:val="20"/>
        </w:rPr>
        <w:t xml:space="preserve">The news in the GST Corner is purely according to the information available in public domain and </w:t>
      </w:r>
      <w:r w:rsidR="006257C5" w:rsidRPr="00A7581D">
        <w:rPr>
          <w:rFonts w:ascii="Arial" w:hAnsi="Arial" w:cs="Arial"/>
          <w:i/>
          <w:color w:val="0070C0"/>
          <w:sz w:val="20"/>
          <w:szCs w:val="20"/>
        </w:rPr>
        <w:t xml:space="preserve">does not necessarily reflect the views of </w:t>
      </w:r>
      <w:r w:rsidR="003B67AE" w:rsidRPr="00A7581D">
        <w:rPr>
          <w:rFonts w:ascii="Arial" w:hAnsi="Arial" w:cs="Arial"/>
          <w:i/>
          <w:color w:val="0070C0"/>
          <w:sz w:val="20"/>
          <w:szCs w:val="20"/>
        </w:rPr>
        <w:t>ICSI</w:t>
      </w:r>
      <w:r w:rsidR="00841CF2" w:rsidRPr="00A7581D">
        <w:rPr>
          <w:rFonts w:ascii="Arial" w:hAnsi="Arial" w:cs="Arial"/>
          <w:i/>
          <w:color w:val="0070C0"/>
          <w:sz w:val="20"/>
          <w:szCs w:val="20"/>
        </w:rPr>
        <w:t>.</w:t>
      </w:r>
      <w:r w:rsidR="003B67AE" w:rsidRPr="00A7581D">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A7581D">
        <w:rPr>
          <w:rFonts w:ascii="Arial" w:eastAsia="Times New Roman" w:hAnsi="Arial" w:cs="Arial"/>
          <w:i/>
          <w:iCs/>
          <w:color w:val="0070C0"/>
          <w:sz w:val="20"/>
          <w:szCs w:val="20"/>
        </w:rPr>
        <w:t xml:space="preserve"> </w:t>
      </w:r>
      <w:r w:rsidR="003B67AE" w:rsidRPr="00A7581D">
        <w:rPr>
          <w:rFonts w:ascii="Arial" w:eastAsia="Times New Roman" w:hAnsi="Arial" w:cs="Arial"/>
          <w:i/>
          <w:iCs/>
          <w:color w:val="0070C0"/>
          <w:sz w:val="20"/>
          <w:szCs w:val="20"/>
        </w:rPr>
        <w:t>source.</w:t>
      </w:r>
    </w:p>
    <w:sectPr w:rsidR="006B2627" w:rsidRPr="00A7581D"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2DD" w:rsidRDefault="002462DD" w:rsidP="00915541">
      <w:r>
        <w:separator/>
      </w:r>
    </w:p>
  </w:endnote>
  <w:endnote w:type="continuationSeparator" w:id="1">
    <w:p w:rsidR="002462DD" w:rsidRDefault="002462D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2DD" w:rsidRDefault="002462DD" w:rsidP="00915541">
      <w:r>
        <w:separator/>
      </w:r>
    </w:p>
  </w:footnote>
  <w:footnote w:type="continuationSeparator" w:id="1">
    <w:p w:rsidR="002462DD" w:rsidRDefault="002462D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
  </w:num>
  <w:num w:numId="6">
    <w:abstractNumId w:val="11"/>
  </w:num>
  <w:num w:numId="7">
    <w:abstractNumId w:val="3"/>
  </w:num>
  <w:num w:numId="8">
    <w:abstractNumId w:val="10"/>
  </w:num>
  <w:num w:numId="9">
    <w:abstractNumId w:val="0"/>
  </w:num>
  <w:num w:numId="10">
    <w:abstractNumId w:val="8"/>
  </w:num>
  <w:num w:numId="11">
    <w:abstractNumId w:val="12"/>
  </w:num>
  <w:num w:numId="12">
    <w:abstractNumId w:val="14"/>
  </w:num>
  <w:num w:numId="13">
    <w:abstractNumId w:val="16"/>
  </w:num>
  <w:num w:numId="14">
    <w:abstractNumId w:val="5"/>
  </w:num>
  <w:num w:numId="15">
    <w:abstractNumId w:val="2"/>
  </w:num>
  <w:num w:numId="16">
    <w:abstractNumId w:val="7"/>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5DCC"/>
    <w:rsid w:val="00147B1C"/>
    <w:rsid w:val="00151C40"/>
    <w:rsid w:val="001532FD"/>
    <w:rsid w:val="00153CD0"/>
    <w:rsid w:val="00156058"/>
    <w:rsid w:val="001615EE"/>
    <w:rsid w:val="001634D0"/>
    <w:rsid w:val="00176B3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11B86"/>
    <w:rsid w:val="00213D1E"/>
    <w:rsid w:val="002154C2"/>
    <w:rsid w:val="0021721D"/>
    <w:rsid w:val="00224BC8"/>
    <w:rsid w:val="00225C09"/>
    <w:rsid w:val="00230C39"/>
    <w:rsid w:val="00237D19"/>
    <w:rsid w:val="002462DD"/>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27280"/>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5A15"/>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679E4"/>
    <w:rsid w:val="00573995"/>
    <w:rsid w:val="005757E3"/>
    <w:rsid w:val="005824C6"/>
    <w:rsid w:val="00583DFD"/>
    <w:rsid w:val="00587352"/>
    <w:rsid w:val="00591697"/>
    <w:rsid w:val="005A429B"/>
    <w:rsid w:val="005B25B7"/>
    <w:rsid w:val="005B2D17"/>
    <w:rsid w:val="005B7495"/>
    <w:rsid w:val="005C1A22"/>
    <w:rsid w:val="005C34A8"/>
    <w:rsid w:val="005C559F"/>
    <w:rsid w:val="005C7CC6"/>
    <w:rsid w:val="005D257A"/>
    <w:rsid w:val="005D2F86"/>
    <w:rsid w:val="005D4DB0"/>
    <w:rsid w:val="005D68B6"/>
    <w:rsid w:val="005E045B"/>
    <w:rsid w:val="005E633F"/>
    <w:rsid w:val="005F3A51"/>
    <w:rsid w:val="005F44AA"/>
    <w:rsid w:val="005F7742"/>
    <w:rsid w:val="005F7A21"/>
    <w:rsid w:val="005F7E4E"/>
    <w:rsid w:val="00604EE7"/>
    <w:rsid w:val="006064C6"/>
    <w:rsid w:val="00607754"/>
    <w:rsid w:val="00610497"/>
    <w:rsid w:val="00615D1D"/>
    <w:rsid w:val="00622E65"/>
    <w:rsid w:val="00623ECD"/>
    <w:rsid w:val="006257C5"/>
    <w:rsid w:val="00626855"/>
    <w:rsid w:val="00630D7A"/>
    <w:rsid w:val="006329B4"/>
    <w:rsid w:val="006412F5"/>
    <w:rsid w:val="006418AA"/>
    <w:rsid w:val="00653B03"/>
    <w:rsid w:val="00661A1B"/>
    <w:rsid w:val="00667ADE"/>
    <w:rsid w:val="00670145"/>
    <w:rsid w:val="00672152"/>
    <w:rsid w:val="006725AD"/>
    <w:rsid w:val="00672D7F"/>
    <w:rsid w:val="006741F0"/>
    <w:rsid w:val="006757C3"/>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72EE3"/>
    <w:rsid w:val="008905B2"/>
    <w:rsid w:val="0089419C"/>
    <w:rsid w:val="008941CF"/>
    <w:rsid w:val="008941F1"/>
    <w:rsid w:val="00896BD0"/>
    <w:rsid w:val="008A4E6A"/>
    <w:rsid w:val="008B2E30"/>
    <w:rsid w:val="008B361C"/>
    <w:rsid w:val="008B49AA"/>
    <w:rsid w:val="008C7743"/>
    <w:rsid w:val="008D0F3B"/>
    <w:rsid w:val="008E3462"/>
    <w:rsid w:val="008E7919"/>
    <w:rsid w:val="008F14D0"/>
    <w:rsid w:val="008F33F8"/>
    <w:rsid w:val="009011C7"/>
    <w:rsid w:val="009017C9"/>
    <w:rsid w:val="00910331"/>
    <w:rsid w:val="009110DE"/>
    <w:rsid w:val="009126D0"/>
    <w:rsid w:val="00915541"/>
    <w:rsid w:val="00921C55"/>
    <w:rsid w:val="00922899"/>
    <w:rsid w:val="00930335"/>
    <w:rsid w:val="0094073C"/>
    <w:rsid w:val="00941C19"/>
    <w:rsid w:val="00942294"/>
    <w:rsid w:val="009455B0"/>
    <w:rsid w:val="0095227A"/>
    <w:rsid w:val="00953FD2"/>
    <w:rsid w:val="00955A69"/>
    <w:rsid w:val="009566E1"/>
    <w:rsid w:val="00961888"/>
    <w:rsid w:val="00962EA5"/>
    <w:rsid w:val="00967487"/>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581D"/>
    <w:rsid w:val="00A77EBE"/>
    <w:rsid w:val="00A823D6"/>
    <w:rsid w:val="00A85D75"/>
    <w:rsid w:val="00A86AC5"/>
    <w:rsid w:val="00AB075F"/>
    <w:rsid w:val="00AB61CC"/>
    <w:rsid w:val="00AD11F0"/>
    <w:rsid w:val="00AD32E1"/>
    <w:rsid w:val="00AE74E3"/>
    <w:rsid w:val="00AE756C"/>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A775C"/>
    <w:rsid w:val="00CB1607"/>
    <w:rsid w:val="00CB2201"/>
    <w:rsid w:val="00CC23C0"/>
    <w:rsid w:val="00CC5054"/>
    <w:rsid w:val="00CD03FF"/>
    <w:rsid w:val="00CD1F69"/>
    <w:rsid w:val="00CD23B6"/>
    <w:rsid w:val="00CE5CD5"/>
    <w:rsid w:val="00CF201A"/>
    <w:rsid w:val="00CF43B9"/>
    <w:rsid w:val="00CF6FEB"/>
    <w:rsid w:val="00D02C13"/>
    <w:rsid w:val="00D1030B"/>
    <w:rsid w:val="00D221CA"/>
    <w:rsid w:val="00D26E46"/>
    <w:rsid w:val="00D33A5A"/>
    <w:rsid w:val="00D46869"/>
    <w:rsid w:val="00D503E1"/>
    <w:rsid w:val="00D521DC"/>
    <w:rsid w:val="00D5310B"/>
    <w:rsid w:val="00D55343"/>
    <w:rsid w:val="00D57CBA"/>
    <w:rsid w:val="00D604ED"/>
    <w:rsid w:val="00D61745"/>
    <w:rsid w:val="00D63911"/>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07482"/>
    <w:rsid w:val="00E15F29"/>
    <w:rsid w:val="00E23A47"/>
    <w:rsid w:val="00E2685E"/>
    <w:rsid w:val="00E31257"/>
    <w:rsid w:val="00E33634"/>
    <w:rsid w:val="00E33A15"/>
    <w:rsid w:val="00E35074"/>
    <w:rsid w:val="00E37808"/>
    <w:rsid w:val="00E410EC"/>
    <w:rsid w:val="00E41571"/>
    <w:rsid w:val="00E439C5"/>
    <w:rsid w:val="00E442B0"/>
    <w:rsid w:val="00E4653A"/>
    <w:rsid w:val="00E51DDA"/>
    <w:rsid w:val="00E530BF"/>
    <w:rsid w:val="00E54407"/>
    <w:rsid w:val="00E555E6"/>
    <w:rsid w:val="00E61F87"/>
    <w:rsid w:val="00E64398"/>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296</cp:revision>
  <cp:lastPrinted>2016-04-11T04:27:00Z</cp:lastPrinted>
  <dcterms:created xsi:type="dcterms:W3CDTF">2016-02-19T04:37:00Z</dcterms:created>
  <dcterms:modified xsi:type="dcterms:W3CDTF">2016-10-21T05:30:00Z</dcterms:modified>
</cp:coreProperties>
</file>