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0057C"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50057C">
        <w:rPr>
          <w:rFonts w:asciiTheme="majorHAnsi" w:hAnsiTheme="majorHAnsi"/>
          <w:b/>
          <w:noProof/>
          <w:sz w:val="28"/>
          <w:szCs w:val="28"/>
          <w:lang w:val="en-IN" w:eastAsia="en-IN"/>
        </w:rPr>
        <w:tab/>
      </w:r>
      <w:r w:rsidRPr="0050057C">
        <w:rPr>
          <w:rFonts w:asciiTheme="majorHAnsi" w:hAnsiTheme="majorHAnsi"/>
          <w:b/>
          <w:noProof/>
          <w:sz w:val="28"/>
          <w:szCs w:val="28"/>
          <w:lang w:val="en-IN" w:eastAsia="en-IN"/>
        </w:rPr>
        <w:tab/>
      </w:r>
      <w:r w:rsidRPr="0050057C">
        <w:rPr>
          <w:rFonts w:asciiTheme="majorHAnsi" w:hAnsiTheme="majorHAnsi"/>
          <w:b/>
          <w:noProof/>
          <w:sz w:val="28"/>
          <w:szCs w:val="28"/>
          <w:lang w:val="en-IN" w:eastAsia="en-IN"/>
        </w:rPr>
        <w:tab/>
      </w:r>
      <w:r w:rsidR="00A320A7" w:rsidRPr="0050057C">
        <w:rPr>
          <w:rFonts w:asciiTheme="majorHAnsi" w:hAnsiTheme="majorHAnsi"/>
          <w:b/>
          <w:noProof/>
          <w:sz w:val="28"/>
          <w:szCs w:val="28"/>
          <w:lang w:val="en-IN" w:eastAsia="en-IN"/>
        </w:rPr>
        <w:t>GST</w:t>
      </w:r>
      <w:r w:rsidR="00523F16" w:rsidRPr="0050057C">
        <w:rPr>
          <w:rFonts w:asciiTheme="majorHAnsi" w:hAnsiTheme="majorHAnsi"/>
          <w:b/>
          <w:noProof/>
          <w:sz w:val="28"/>
          <w:szCs w:val="28"/>
          <w:lang w:val="en-IN" w:eastAsia="en-IN"/>
        </w:rPr>
        <w:t xml:space="preserve"> HEADLINES</w:t>
      </w:r>
    </w:p>
    <w:p w:rsidR="009E1F2A" w:rsidRPr="0050057C" w:rsidRDefault="0050057C" w:rsidP="00573995">
      <w:pPr>
        <w:pStyle w:val="NormalWeb"/>
        <w:spacing w:before="0" w:beforeAutospacing="0" w:after="120" w:afterAutospacing="0"/>
        <w:ind w:left="2880" w:right="180" w:firstLine="720"/>
        <w:rPr>
          <w:rFonts w:asciiTheme="majorHAnsi" w:hAnsiTheme="majorHAnsi" w:cs="Cambria"/>
          <w:b/>
          <w:bCs/>
          <w:iCs/>
          <w:lang w:val="en-IN"/>
        </w:rPr>
      </w:pPr>
      <w:r>
        <w:rPr>
          <w:rFonts w:asciiTheme="majorHAnsi" w:hAnsiTheme="majorHAnsi" w:cs="Cambria"/>
          <w:b/>
          <w:bCs/>
          <w:iCs/>
          <w:lang w:val="en-IN"/>
        </w:rPr>
        <w:t xml:space="preserve">    </w:t>
      </w:r>
      <w:r w:rsidR="005203AB">
        <w:rPr>
          <w:rFonts w:asciiTheme="majorHAnsi" w:hAnsiTheme="majorHAnsi" w:cs="Cambria"/>
          <w:b/>
          <w:bCs/>
          <w:iCs/>
          <w:lang w:val="en-IN"/>
        </w:rPr>
        <w:t>October 7</w:t>
      </w:r>
      <w:r w:rsidR="00B24FA7" w:rsidRPr="0050057C">
        <w:rPr>
          <w:rFonts w:asciiTheme="majorHAnsi" w:hAnsiTheme="majorHAnsi" w:cs="Cambria"/>
          <w:b/>
          <w:bCs/>
          <w:iCs/>
          <w:lang w:val="en-IN"/>
        </w:rPr>
        <w:t xml:space="preserve">, </w:t>
      </w:r>
      <w:r w:rsidR="00110284" w:rsidRPr="0050057C">
        <w:rPr>
          <w:rFonts w:asciiTheme="majorHAnsi" w:hAnsiTheme="majorHAnsi" w:cs="Cambria"/>
          <w:b/>
          <w:bCs/>
          <w:iCs/>
          <w:lang w:val="en-IN"/>
        </w:rPr>
        <w:t>2016</w:t>
      </w:r>
      <w:bookmarkStart w:id="0" w:name="_GoBack"/>
      <w:bookmarkEnd w:id="0"/>
    </w:p>
    <w:p w:rsidR="002C32F4" w:rsidRDefault="002C32F4" w:rsidP="0012406A">
      <w:pPr>
        <w:shd w:val="clear" w:color="auto" w:fill="FFFFFF"/>
        <w:spacing w:after="360"/>
        <w:ind w:left="3600" w:firstLine="720"/>
        <w:outlineLvl w:val="0"/>
        <w:rPr>
          <w:rFonts w:asciiTheme="majorHAnsi" w:hAnsiTheme="majorHAnsi"/>
          <w:b/>
          <w:i/>
          <w:sz w:val="28"/>
          <w:szCs w:val="28"/>
        </w:rPr>
      </w:pPr>
    </w:p>
    <w:p w:rsidR="001A670B" w:rsidRDefault="001A670B" w:rsidP="0012406A">
      <w:pPr>
        <w:shd w:val="clear" w:color="auto" w:fill="FFFFFF"/>
        <w:spacing w:after="360"/>
        <w:ind w:left="3600" w:firstLine="720"/>
        <w:outlineLvl w:val="0"/>
        <w:rPr>
          <w:rFonts w:asciiTheme="majorHAnsi" w:hAnsiTheme="majorHAnsi"/>
          <w:b/>
          <w:i/>
          <w:sz w:val="28"/>
          <w:szCs w:val="28"/>
        </w:rPr>
      </w:pPr>
    </w:p>
    <w:p w:rsidR="001A670B" w:rsidRDefault="001A670B" w:rsidP="0012406A">
      <w:pPr>
        <w:shd w:val="clear" w:color="auto" w:fill="FFFFFF"/>
        <w:spacing w:after="360"/>
        <w:ind w:left="3600" w:firstLine="720"/>
        <w:outlineLvl w:val="0"/>
        <w:rPr>
          <w:rFonts w:asciiTheme="majorHAnsi" w:hAnsiTheme="majorHAnsi"/>
          <w:b/>
          <w:i/>
          <w:sz w:val="28"/>
          <w:szCs w:val="28"/>
        </w:rPr>
      </w:pPr>
    </w:p>
    <w:p w:rsidR="005203AB" w:rsidRPr="0060702A" w:rsidRDefault="001A670B" w:rsidP="001A670B">
      <w:pPr>
        <w:shd w:val="clear" w:color="auto" w:fill="FFFFFF"/>
        <w:spacing w:after="120"/>
        <w:outlineLvl w:val="0"/>
        <w:rPr>
          <w:rFonts w:asciiTheme="majorHAnsi" w:hAnsiTheme="majorHAnsi"/>
          <w:b/>
          <w:sz w:val="32"/>
          <w:szCs w:val="32"/>
        </w:rPr>
      </w:pPr>
      <w:r>
        <w:rPr>
          <w:rFonts w:asciiTheme="majorHAnsi" w:hAnsiTheme="majorHAnsi"/>
          <w:b/>
          <w:sz w:val="32"/>
          <w:szCs w:val="32"/>
        </w:rPr>
        <w:t>Adoption of GST Poised t</w:t>
      </w:r>
      <w:r w:rsidR="005203AB" w:rsidRPr="0060702A">
        <w:rPr>
          <w:rFonts w:asciiTheme="majorHAnsi" w:hAnsiTheme="majorHAnsi"/>
          <w:b/>
          <w:sz w:val="32"/>
          <w:szCs w:val="32"/>
        </w:rPr>
        <w:t>o Boost India’s Medium Term Growth - IMF</w:t>
      </w:r>
    </w:p>
    <w:p w:rsidR="00A301A3" w:rsidRPr="0050057C" w:rsidRDefault="002C32F4" w:rsidP="001A670B">
      <w:pPr>
        <w:shd w:val="clear" w:color="auto" w:fill="FFFFFF"/>
        <w:spacing w:after="120"/>
        <w:ind w:left="3600" w:firstLine="720"/>
        <w:jc w:val="right"/>
        <w:outlineLvl w:val="0"/>
        <w:rPr>
          <w:rFonts w:asciiTheme="majorHAnsi" w:eastAsia="Times New Roman" w:hAnsiTheme="majorHAnsi"/>
          <w:b/>
          <w:bCs/>
          <w:kern w:val="36"/>
          <w:sz w:val="32"/>
          <w:szCs w:val="32"/>
          <w:lang w:val="en-IN" w:eastAsia="en-IN"/>
        </w:rPr>
      </w:pPr>
      <w:r w:rsidRPr="0050057C">
        <w:rPr>
          <w:rFonts w:asciiTheme="majorHAnsi" w:hAnsiTheme="majorHAnsi"/>
          <w:b/>
          <w:i/>
          <w:sz w:val="28"/>
          <w:szCs w:val="28"/>
        </w:rPr>
        <w:t xml:space="preserve"> </w:t>
      </w:r>
      <w:r w:rsidR="00A301A3" w:rsidRPr="0050057C">
        <w:rPr>
          <w:rFonts w:asciiTheme="majorHAnsi" w:hAnsiTheme="majorHAnsi"/>
          <w:b/>
          <w:i/>
          <w:sz w:val="28"/>
          <w:szCs w:val="28"/>
        </w:rPr>
        <w:t>[Source :</w:t>
      </w:r>
      <w:r w:rsidR="001A670B">
        <w:rPr>
          <w:rFonts w:asciiTheme="majorHAnsi" w:hAnsiTheme="majorHAnsi"/>
          <w:b/>
          <w:i/>
          <w:sz w:val="28"/>
          <w:szCs w:val="28"/>
        </w:rPr>
        <w:t xml:space="preserve"> The </w:t>
      </w:r>
      <w:r w:rsidR="005203AB">
        <w:rPr>
          <w:rFonts w:asciiTheme="majorHAnsi" w:hAnsiTheme="majorHAnsi"/>
          <w:b/>
          <w:i/>
          <w:sz w:val="28"/>
          <w:szCs w:val="28"/>
        </w:rPr>
        <w:t>Economic Times</w:t>
      </w:r>
      <w:r w:rsidR="00A301A3" w:rsidRPr="0050057C">
        <w:rPr>
          <w:rFonts w:asciiTheme="majorHAnsi" w:hAnsiTheme="majorHAnsi"/>
          <w:b/>
          <w:i/>
          <w:sz w:val="28"/>
          <w:szCs w:val="28"/>
        </w:rPr>
        <w:t>]</w:t>
      </w:r>
    </w:p>
    <w:p w:rsidR="001A670B" w:rsidRDefault="001A670B" w:rsidP="001A670B">
      <w:pPr>
        <w:pStyle w:val="Heading1"/>
        <w:spacing w:before="0" w:beforeAutospacing="0" w:after="120" w:afterAutospacing="0"/>
        <w:rPr>
          <w:rFonts w:asciiTheme="majorHAnsi" w:hAnsiTheme="majorHAnsi"/>
          <w:sz w:val="32"/>
          <w:szCs w:val="32"/>
        </w:rPr>
      </w:pPr>
    </w:p>
    <w:p w:rsidR="001A670B" w:rsidRDefault="001A670B" w:rsidP="001A670B">
      <w:pPr>
        <w:pStyle w:val="Heading1"/>
        <w:spacing w:before="0" w:beforeAutospacing="0" w:after="120" w:afterAutospacing="0"/>
        <w:rPr>
          <w:rFonts w:asciiTheme="majorHAnsi" w:hAnsiTheme="majorHAnsi"/>
          <w:sz w:val="32"/>
          <w:szCs w:val="32"/>
        </w:rPr>
      </w:pPr>
    </w:p>
    <w:p w:rsidR="001A670B" w:rsidRPr="001A670B" w:rsidRDefault="001A670B" w:rsidP="001A670B">
      <w:pPr>
        <w:pStyle w:val="Heading1"/>
        <w:spacing w:before="0" w:beforeAutospacing="0" w:after="120" w:afterAutospacing="0"/>
        <w:rPr>
          <w:rFonts w:asciiTheme="majorHAnsi" w:hAnsiTheme="majorHAnsi"/>
          <w:sz w:val="32"/>
          <w:szCs w:val="32"/>
        </w:rPr>
      </w:pPr>
      <w:r>
        <w:rPr>
          <w:rFonts w:asciiTheme="majorHAnsi" w:hAnsiTheme="majorHAnsi"/>
          <w:sz w:val="32"/>
          <w:szCs w:val="32"/>
        </w:rPr>
        <w:t>GST Network Operating Expenses to be Funded b</w:t>
      </w:r>
      <w:r w:rsidR="003931ED">
        <w:rPr>
          <w:rFonts w:asciiTheme="majorHAnsi" w:hAnsiTheme="majorHAnsi"/>
          <w:sz w:val="32"/>
          <w:szCs w:val="32"/>
        </w:rPr>
        <w:t>y User F</w:t>
      </w:r>
      <w:r w:rsidR="0060702A" w:rsidRPr="0060702A">
        <w:rPr>
          <w:rFonts w:asciiTheme="majorHAnsi" w:hAnsiTheme="majorHAnsi"/>
          <w:sz w:val="32"/>
          <w:szCs w:val="32"/>
        </w:rPr>
        <w:t>ee</w:t>
      </w:r>
    </w:p>
    <w:p w:rsidR="0060702A" w:rsidRPr="0050057C" w:rsidRDefault="0060702A" w:rsidP="001A670B">
      <w:pPr>
        <w:shd w:val="clear" w:color="auto" w:fill="FFFFFF"/>
        <w:spacing w:after="120"/>
        <w:ind w:left="3600" w:firstLine="720"/>
        <w:jc w:val="right"/>
        <w:outlineLvl w:val="0"/>
        <w:rPr>
          <w:rFonts w:asciiTheme="majorHAnsi" w:eastAsia="Times New Roman" w:hAnsiTheme="majorHAnsi"/>
          <w:b/>
          <w:bCs/>
          <w:kern w:val="36"/>
          <w:sz w:val="32"/>
          <w:szCs w:val="32"/>
          <w:lang w:val="en-IN" w:eastAsia="en-IN"/>
        </w:rPr>
      </w:pPr>
      <w:r w:rsidRPr="0050057C">
        <w:rPr>
          <w:rFonts w:asciiTheme="majorHAnsi" w:hAnsiTheme="majorHAnsi"/>
          <w:b/>
          <w:i/>
          <w:sz w:val="28"/>
          <w:szCs w:val="28"/>
        </w:rPr>
        <w:t>[Source :</w:t>
      </w:r>
      <w:r w:rsidR="001A670B">
        <w:rPr>
          <w:rFonts w:asciiTheme="majorHAnsi" w:hAnsiTheme="majorHAnsi"/>
          <w:b/>
          <w:i/>
          <w:sz w:val="28"/>
          <w:szCs w:val="28"/>
        </w:rPr>
        <w:t xml:space="preserve"> </w:t>
      </w:r>
      <w:r>
        <w:rPr>
          <w:rFonts w:asciiTheme="majorHAnsi" w:hAnsiTheme="majorHAnsi"/>
          <w:b/>
          <w:i/>
          <w:sz w:val="28"/>
          <w:szCs w:val="28"/>
        </w:rPr>
        <w:t>The Financial Express</w:t>
      </w:r>
      <w:r w:rsidRPr="0050057C">
        <w:rPr>
          <w:rFonts w:asciiTheme="majorHAnsi" w:hAnsiTheme="majorHAnsi"/>
          <w:b/>
          <w:i/>
          <w:sz w:val="28"/>
          <w:szCs w:val="28"/>
        </w:rPr>
        <w:t>]</w:t>
      </w:r>
    </w:p>
    <w:p w:rsidR="001A670B" w:rsidRDefault="001A670B" w:rsidP="001A670B">
      <w:pPr>
        <w:pStyle w:val="Heading1"/>
        <w:spacing w:before="0" w:beforeAutospacing="0" w:after="120" w:afterAutospacing="0"/>
        <w:jc w:val="both"/>
        <w:rPr>
          <w:rFonts w:asciiTheme="majorHAnsi" w:hAnsiTheme="majorHAnsi"/>
          <w:sz w:val="32"/>
          <w:szCs w:val="32"/>
        </w:rPr>
      </w:pPr>
    </w:p>
    <w:p w:rsidR="001A670B" w:rsidRDefault="001A670B" w:rsidP="001A670B">
      <w:pPr>
        <w:pStyle w:val="Heading1"/>
        <w:spacing w:before="0" w:beforeAutospacing="0" w:after="120" w:afterAutospacing="0"/>
        <w:jc w:val="both"/>
        <w:rPr>
          <w:rFonts w:asciiTheme="majorHAnsi" w:hAnsiTheme="majorHAnsi"/>
          <w:sz w:val="32"/>
          <w:szCs w:val="32"/>
        </w:rPr>
      </w:pPr>
    </w:p>
    <w:p w:rsidR="00583CD8" w:rsidRPr="00583CD8" w:rsidRDefault="00583CD8" w:rsidP="001A670B">
      <w:pPr>
        <w:pStyle w:val="Heading1"/>
        <w:spacing w:before="0" w:beforeAutospacing="0" w:after="120" w:afterAutospacing="0"/>
        <w:jc w:val="both"/>
        <w:rPr>
          <w:rFonts w:asciiTheme="majorHAnsi" w:hAnsiTheme="majorHAnsi"/>
          <w:sz w:val="32"/>
          <w:szCs w:val="32"/>
        </w:rPr>
      </w:pPr>
      <w:r>
        <w:rPr>
          <w:rFonts w:asciiTheme="majorHAnsi" w:hAnsiTheme="majorHAnsi"/>
          <w:sz w:val="32"/>
          <w:szCs w:val="32"/>
        </w:rPr>
        <w:t>A</w:t>
      </w:r>
      <w:r w:rsidR="001A670B">
        <w:rPr>
          <w:rFonts w:asciiTheme="majorHAnsi" w:hAnsiTheme="majorHAnsi"/>
          <w:sz w:val="32"/>
          <w:szCs w:val="32"/>
        </w:rPr>
        <w:t>uto Industry Demands Two Rates u</w:t>
      </w:r>
      <w:r w:rsidRPr="00583CD8">
        <w:rPr>
          <w:rFonts w:asciiTheme="majorHAnsi" w:hAnsiTheme="majorHAnsi"/>
          <w:sz w:val="32"/>
          <w:szCs w:val="32"/>
        </w:rPr>
        <w:t>nder GST</w:t>
      </w:r>
    </w:p>
    <w:p w:rsidR="00583CD8" w:rsidRPr="0050057C" w:rsidRDefault="00583CD8" w:rsidP="001A670B">
      <w:pPr>
        <w:shd w:val="clear" w:color="auto" w:fill="FFFFFF"/>
        <w:spacing w:after="360"/>
        <w:ind w:left="3600" w:firstLine="720"/>
        <w:jc w:val="right"/>
        <w:outlineLvl w:val="0"/>
        <w:rPr>
          <w:rFonts w:asciiTheme="majorHAnsi" w:eastAsia="Times New Roman" w:hAnsiTheme="majorHAnsi"/>
          <w:b/>
          <w:bCs/>
          <w:kern w:val="36"/>
          <w:sz w:val="32"/>
          <w:szCs w:val="32"/>
          <w:lang w:val="en-IN" w:eastAsia="en-IN"/>
        </w:rPr>
      </w:pPr>
      <w:r w:rsidRPr="0050057C">
        <w:rPr>
          <w:rFonts w:asciiTheme="majorHAnsi" w:hAnsiTheme="majorHAnsi"/>
          <w:b/>
          <w:i/>
          <w:sz w:val="28"/>
          <w:szCs w:val="28"/>
        </w:rPr>
        <w:t>[Source :</w:t>
      </w:r>
      <w:r w:rsidR="001A670B">
        <w:rPr>
          <w:rFonts w:asciiTheme="majorHAnsi" w:hAnsiTheme="majorHAnsi"/>
          <w:b/>
          <w:i/>
          <w:sz w:val="28"/>
          <w:szCs w:val="28"/>
        </w:rPr>
        <w:t xml:space="preserve"> </w:t>
      </w:r>
      <w:r>
        <w:rPr>
          <w:rFonts w:asciiTheme="majorHAnsi" w:hAnsiTheme="majorHAnsi"/>
          <w:b/>
          <w:i/>
          <w:sz w:val="28"/>
          <w:szCs w:val="28"/>
        </w:rPr>
        <w:t>The Hindu</w:t>
      </w:r>
      <w:r w:rsidRPr="0050057C">
        <w:rPr>
          <w:rFonts w:asciiTheme="majorHAnsi" w:hAnsiTheme="majorHAnsi"/>
          <w:b/>
          <w:i/>
          <w:sz w:val="28"/>
          <w:szCs w:val="28"/>
        </w:rPr>
        <w:t>]</w:t>
      </w:r>
    </w:p>
    <w:p w:rsidR="0074213E" w:rsidRPr="0060702A" w:rsidRDefault="0074213E" w:rsidP="00C633C8">
      <w:pPr>
        <w:pStyle w:val="Heading1"/>
        <w:shd w:val="clear" w:color="auto" w:fill="FFFFFF"/>
        <w:spacing w:before="0" w:beforeAutospacing="0" w:after="0" w:afterAutospacing="0" w:line="600" w:lineRule="atLeast"/>
        <w:rPr>
          <w:sz w:val="32"/>
          <w:szCs w:val="32"/>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A301A3" w:rsidRDefault="00A301A3" w:rsidP="00807BD5">
      <w:pPr>
        <w:spacing w:after="200" w:line="276" w:lineRule="auto"/>
        <w:jc w:val="both"/>
        <w:rPr>
          <w:rFonts w:ascii="Arial" w:hAnsi="Arial" w:cs="Arial"/>
          <w:i/>
          <w:sz w:val="20"/>
          <w:szCs w:val="20"/>
        </w:rPr>
      </w:pPr>
    </w:p>
    <w:p w:rsidR="005203AB" w:rsidRDefault="005203AB" w:rsidP="00807BD5">
      <w:pPr>
        <w:spacing w:after="200" w:line="276" w:lineRule="auto"/>
        <w:jc w:val="both"/>
        <w:rPr>
          <w:rFonts w:ascii="Arial" w:hAnsi="Arial" w:cs="Arial"/>
          <w:i/>
          <w:sz w:val="20"/>
          <w:szCs w:val="20"/>
        </w:rPr>
      </w:pPr>
    </w:p>
    <w:p w:rsidR="005203AB" w:rsidRDefault="005203AB" w:rsidP="00807BD5">
      <w:pPr>
        <w:spacing w:after="200" w:line="276" w:lineRule="auto"/>
        <w:jc w:val="both"/>
        <w:rPr>
          <w:rFonts w:ascii="Arial" w:hAnsi="Arial" w:cs="Arial"/>
          <w:i/>
          <w:sz w:val="20"/>
          <w:szCs w:val="20"/>
        </w:rPr>
      </w:pPr>
    </w:p>
    <w:p w:rsidR="005203AB" w:rsidRDefault="005203AB" w:rsidP="00807BD5">
      <w:pPr>
        <w:spacing w:after="200" w:line="276" w:lineRule="auto"/>
        <w:jc w:val="both"/>
        <w:rPr>
          <w:rFonts w:ascii="Arial" w:hAnsi="Arial" w:cs="Arial"/>
          <w:i/>
          <w:sz w:val="20"/>
          <w:szCs w:val="20"/>
        </w:rPr>
      </w:pPr>
    </w:p>
    <w:p w:rsidR="001A670B" w:rsidRDefault="001A670B" w:rsidP="007D10BD">
      <w:pPr>
        <w:pStyle w:val="Heading1"/>
        <w:spacing w:before="0" w:beforeAutospacing="0" w:after="0" w:afterAutospacing="0" w:line="750" w:lineRule="atLeast"/>
        <w:rPr>
          <w:rFonts w:asciiTheme="majorHAnsi" w:hAnsiTheme="majorHAnsi"/>
          <w:sz w:val="52"/>
          <w:szCs w:val="52"/>
        </w:rPr>
      </w:pPr>
    </w:p>
    <w:p w:rsidR="001A670B" w:rsidRDefault="001A670B" w:rsidP="007D10BD">
      <w:pPr>
        <w:pStyle w:val="Heading1"/>
        <w:spacing w:before="0" w:beforeAutospacing="0" w:after="0" w:afterAutospacing="0" w:line="750" w:lineRule="atLeast"/>
        <w:rPr>
          <w:rFonts w:asciiTheme="majorHAnsi" w:hAnsiTheme="majorHAnsi"/>
          <w:sz w:val="52"/>
          <w:szCs w:val="52"/>
        </w:rPr>
      </w:pPr>
      <w:r>
        <w:rPr>
          <w:rFonts w:asciiTheme="majorHAnsi" w:hAnsiTheme="majorHAnsi"/>
          <w:noProof/>
          <w:sz w:val="52"/>
          <w:szCs w:val="52"/>
          <w:lang w:val="en-IN" w:eastAsia="en-IN"/>
        </w:rPr>
        <w:drawing>
          <wp:inline distT="0" distB="0" distL="0" distR="0">
            <wp:extent cx="6515100" cy="8496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15100" cy="8496300"/>
                    </a:xfrm>
                    <a:prstGeom prst="rect">
                      <a:avLst/>
                    </a:prstGeom>
                    <a:noFill/>
                    <a:ln w="9525">
                      <a:noFill/>
                      <a:miter lim="800000"/>
                      <a:headEnd/>
                      <a:tailEnd/>
                    </a:ln>
                  </pic:spPr>
                </pic:pic>
              </a:graphicData>
            </a:graphic>
          </wp:inline>
        </w:drawing>
      </w:r>
    </w:p>
    <w:p w:rsidR="001A670B" w:rsidRDefault="001A670B" w:rsidP="007D10BD">
      <w:pPr>
        <w:pStyle w:val="Heading1"/>
        <w:spacing w:before="0" w:beforeAutospacing="0" w:after="0" w:afterAutospacing="0" w:line="750" w:lineRule="atLeast"/>
        <w:rPr>
          <w:rFonts w:asciiTheme="majorHAnsi" w:hAnsiTheme="majorHAnsi"/>
          <w:sz w:val="52"/>
          <w:szCs w:val="52"/>
        </w:rPr>
      </w:pPr>
    </w:p>
    <w:p w:rsidR="001A670B" w:rsidRDefault="001A670B" w:rsidP="007D10BD">
      <w:pPr>
        <w:pStyle w:val="Heading1"/>
        <w:spacing w:before="0" w:beforeAutospacing="0" w:after="0" w:afterAutospacing="0" w:line="750" w:lineRule="atLeast"/>
        <w:rPr>
          <w:rFonts w:asciiTheme="majorHAnsi" w:hAnsiTheme="majorHAnsi"/>
          <w:sz w:val="52"/>
          <w:szCs w:val="52"/>
        </w:rPr>
      </w:pPr>
    </w:p>
    <w:p w:rsidR="001A670B" w:rsidRDefault="001A670B" w:rsidP="007D10BD">
      <w:pPr>
        <w:pStyle w:val="Heading1"/>
        <w:spacing w:before="0" w:beforeAutospacing="0" w:after="0" w:afterAutospacing="0" w:line="750" w:lineRule="atLeast"/>
        <w:rPr>
          <w:rFonts w:asciiTheme="majorHAnsi" w:hAnsiTheme="majorHAnsi"/>
          <w:sz w:val="52"/>
          <w:szCs w:val="52"/>
        </w:rPr>
      </w:pPr>
    </w:p>
    <w:p w:rsidR="001A670B" w:rsidRDefault="001A670B" w:rsidP="007D10BD">
      <w:pPr>
        <w:pStyle w:val="Heading1"/>
        <w:spacing w:before="0" w:beforeAutospacing="0" w:after="0" w:afterAutospacing="0" w:line="750" w:lineRule="atLeast"/>
        <w:rPr>
          <w:rFonts w:asciiTheme="majorHAnsi" w:hAnsiTheme="majorHAnsi"/>
          <w:sz w:val="52"/>
          <w:szCs w:val="52"/>
        </w:rPr>
      </w:pPr>
    </w:p>
    <w:p w:rsidR="007D10BD" w:rsidRPr="001A670B" w:rsidRDefault="001A670B" w:rsidP="001A670B">
      <w:pPr>
        <w:pStyle w:val="Heading1"/>
        <w:spacing w:before="0" w:beforeAutospacing="0" w:after="120" w:afterAutospacing="0"/>
        <w:jc w:val="center"/>
        <w:rPr>
          <w:rFonts w:asciiTheme="majorHAnsi" w:hAnsiTheme="majorHAnsi"/>
          <w:sz w:val="36"/>
          <w:szCs w:val="36"/>
        </w:rPr>
      </w:pPr>
      <w:r w:rsidRPr="001A670B">
        <w:rPr>
          <w:rFonts w:asciiTheme="majorHAnsi" w:hAnsiTheme="majorHAnsi"/>
          <w:sz w:val="36"/>
          <w:szCs w:val="36"/>
        </w:rPr>
        <w:t>GST Network Operating Expenses to be Funded by User Fee</w:t>
      </w:r>
    </w:p>
    <w:tbl>
      <w:tblPr>
        <w:tblW w:w="0" w:type="auto"/>
        <w:tblCellMar>
          <w:left w:w="0" w:type="dxa"/>
          <w:right w:w="0" w:type="dxa"/>
        </w:tblCellMar>
        <w:tblLook w:val="04A0"/>
      </w:tblPr>
      <w:tblGrid>
        <w:gridCol w:w="306"/>
        <w:gridCol w:w="2989"/>
      </w:tblGrid>
      <w:tr w:rsidR="007D10BD" w:rsidRPr="007D10BD" w:rsidTr="007D10BD">
        <w:tc>
          <w:tcPr>
            <w:tcW w:w="0" w:type="auto"/>
            <w:tcBorders>
              <w:top w:val="nil"/>
              <w:left w:val="nil"/>
              <w:bottom w:val="nil"/>
              <w:right w:val="single" w:sz="6" w:space="0" w:color="CCCCCC"/>
            </w:tcBorders>
            <w:tcMar>
              <w:top w:w="0" w:type="dxa"/>
              <w:left w:w="0" w:type="dxa"/>
              <w:bottom w:w="0" w:type="dxa"/>
              <w:right w:w="300" w:type="dxa"/>
            </w:tcMar>
            <w:vAlign w:val="center"/>
            <w:hideMark/>
          </w:tcPr>
          <w:p w:rsidR="007D10BD" w:rsidRPr="007D10BD" w:rsidRDefault="007D10BD" w:rsidP="007D10BD">
            <w:pPr>
              <w:spacing w:line="270" w:lineRule="atLeast"/>
              <w:jc w:val="center"/>
              <w:rPr>
                <w:rFonts w:ascii="inherit" w:hAnsi="inherit"/>
                <w:sz w:val="21"/>
                <w:szCs w:val="21"/>
              </w:rPr>
            </w:pPr>
          </w:p>
        </w:tc>
        <w:tc>
          <w:tcPr>
            <w:tcW w:w="0" w:type="auto"/>
            <w:tcBorders>
              <w:top w:val="nil"/>
              <w:left w:val="nil"/>
              <w:bottom w:val="nil"/>
              <w:right w:val="nil"/>
            </w:tcBorders>
            <w:tcMar>
              <w:top w:w="0" w:type="dxa"/>
              <w:left w:w="300" w:type="dxa"/>
              <w:bottom w:w="0" w:type="dxa"/>
              <w:right w:w="0" w:type="dxa"/>
            </w:tcMar>
            <w:vAlign w:val="center"/>
            <w:hideMark/>
          </w:tcPr>
          <w:p w:rsidR="007D10BD" w:rsidRPr="007D10BD" w:rsidRDefault="007D10BD">
            <w:pPr>
              <w:spacing w:line="0" w:lineRule="auto"/>
              <w:rPr>
                <w:rFonts w:ascii="inherit" w:hAnsi="inherit"/>
                <w:sz w:val="2"/>
                <w:szCs w:val="2"/>
              </w:rPr>
            </w:pPr>
            <w:r w:rsidRPr="007D10BD">
              <w:rPr>
                <w:rStyle w:val="at-label"/>
                <w:rFonts w:ascii="Helvetica" w:hAnsi="Helvetica" w:cs="Helvetica"/>
                <w:sz w:val="17"/>
                <w:szCs w:val="17"/>
                <w:bdr w:val="none" w:sz="0" w:space="0" w:color="auto" w:frame="1"/>
              </w:rPr>
              <w:t>Facebook</w:t>
            </w:r>
            <w:r>
              <w:rPr>
                <w:rStyle w:val="at-label"/>
                <w:rFonts w:ascii="Helvetica" w:hAnsi="Helvetica" w:cs="Helvetica"/>
                <w:sz w:val="17"/>
                <w:szCs w:val="17"/>
                <w:bdr w:val="none" w:sz="0" w:space="0" w:color="auto" w:frame="1"/>
              </w:rPr>
              <w:t>Twitt</w:t>
            </w:r>
            <w:r w:rsidRPr="007D10BD">
              <w:rPr>
                <w:rStyle w:val="at-label"/>
                <w:rFonts w:ascii="Helvetica" w:hAnsi="Helvetica" w:cs="Helvetica"/>
                <w:sz w:val="17"/>
                <w:szCs w:val="17"/>
                <w:bdr w:val="none" w:sz="0" w:space="0" w:color="auto" w:frame="1"/>
              </w:rPr>
              <w:t>oogle+LinkedInEmail</w:t>
            </w:r>
          </w:p>
        </w:tc>
      </w:tr>
    </w:tbl>
    <w:p w:rsidR="007D10BD" w:rsidRDefault="007D10BD" w:rsidP="001A670B">
      <w:pPr>
        <w:jc w:val="center"/>
        <w:rPr>
          <w:rFonts w:ascii="inherit" w:hAnsi="inherit"/>
        </w:rPr>
      </w:pPr>
      <w:r w:rsidRPr="007D10BD">
        <w:rPr>
          <w:rFonts w:ascii="inherit" w:hAnsi="inherit"/>
          <w:noProof/>
          <w:lang w:val="en-IN" w:eastAsia="en-IN"/>
        </w:rPr>
        <w:drawing>
          <wp:inline distT="0" distB="0" distL="0" distR="0">
            <wp:extent cx="3590423" cy="2393615"/>
            <wp:effectExtent l="19050" t="0" r="0" b="0"/>
            <wp:docPr id="1" name="Picture 1" descr="arun jaitley, gst, gst bill, gstn, narendra m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un jaitley, gst, gst bill, gstn, narendra modi"/>
                    <pic:cNvPicPr>
                      <a:picLocks noChangeAspect="1" noChangeArrowheads="1"/>
                    </pic:cNvPicPr>
                  </pic:nvPicPr>
                  <pic:blipFill>
                    <a:blip r:embed="rId9"/>
                    <a:srcRect/>
                    <a:stretch>
                      <a:fillRect/>
                    </a:stretch>
                  </pic:blipFill>
                  <pic:spPr bwMode="auto">
                    <a:xfrm>
                      <a:off x="0" y="0"/>
                      <a:ext cx="3590423" cy="2393615"/>
                    </a:xfrm>
                    <a:prstGeom prst="rect">
                      <a:avLst/>
                    </a:prstGeom>
                    <a:noFill/>
                    <a:ln w="9525">
                      <a:noFill/>
                      <a:miter lim="800000"/>
                      <a:headEnd/>
                      <a:tailEnd/>
                    </a:ln>
                  </pic:spPr>
                </pic:pic>
              </a:graphicData>
            </a:graphic>
          </wp:inline>
        </w:drawing>
      </w:r>
    </w:p>
    <w:p w:rsidR="007D10BD" w:rsidRPr="007D10BD" w:rsidRDefault="007D10BD" w:rsidP="007D10BD">
      <w:pPr>
        <w:rPr>
          <w:rFonts w:ascii="inherit" w:hAnsi="inherit"/>
        </w:rPr>
      </w:pPr>
      <w:r w:rsidRPr="007D10BD">
        <w:rPr>
          <w:rFonts w:ascii="inherit" w:hAnsi="inherit"/>
        </w:rPr>
        <w:t>The GST Council, chaired by Union finance minister Arun Jaitley, is already working towards finalising the structure of the new tax law and two rounds of meetings are already concluded. (Reuters)</w:t>
      </w:r>
    </w:p>
    <w:p w:rsidR="007D10BD" w:rsidRDefault="007D10BD" w:rsidP="007D10BD">
      <w:pPr>
        <w:pStyle w:val="NormalWeb"/>
        <w:spacing w:before="0" w:beforeAutospacing="0" w:after="0" w:afterAutospacing="0" w:line="360" w:lineRule="auto"/>
        <w:jc w:val="both"/>
        <w:rPr>
          <w:rFonts w:asciiTheme="minorHAnsi" w:hAnsiTheme="minorHAnsi"/>
        </w:rPr>
      </w:pPr>
    </w:p>
    <w:p w:rsidR="007D10BD" w:rsidRPr="007D10BD" w:rsidRDefault="007D10BD" w:rsidP="007D10BD">
      <w:pPr>
        <w:pStyle w:val="NormalWeb"/>
        <w:spacing w:before="0" w:beforeAutospacing="0" w:after="0" w:afterAutospacing="0" w:line="360" w:lineRule="auto"/>
        <w:jc w:val="both"/>
        <w:rPr>
          <w:rFonts w:asciiTheme="minorHAnsi" w:hAnsiTheme="minorHAnsi"/>
        </w:rPr>
      </w:pPr>
      <w:r w:rsidRPr="007D10BD">
        <w:rPr>
          <w:rFonts w:asciiTheme="minorHAnsi" w:hAnsiTheme="minorHAnsi"/>
        </w:rPr>
        <w:t>Clearing the ambiguity over the funding of operating costs of the Goods and Services Tax Network (GSTN), the government has decided that an ‘assessee-based user fee’ would make up for the bill.</w:t>
      </w:r>
    </w:p>
    <w:p w:rsidR="007D10BD" w:rsidRPr="007D10BD" w:rsidRDefault="007D10BD" w:rsidP="007D10BD">
      <w:pPr>
        <w:pStyle w:val="NormalWeb"/>
        <w:spacing w:before="0" w:beforeAutospacing="0" w:after="0" w:afterAutospacing="0" w:line="360" w:lineRule="auto"/>
        <w:jc w:val="both"/>
        <w:rPr>
          <w:rFonts w:asciiTheme="minorHAnsi" w:hAnsiTheme="minorHAnsi"/>
        </w:rPr>
      </w:pPr>
      <w:r w:rsidRPr="007D10BD">
        <w:rPr>
          <w:rFonts w:asciiTheme="minorHAnsi" w:hAnsiTheme="minorHAnsi"/>
        </w:rPr>
        <w:t>GSTN, a not-for-profit, non-government firm, would provide IT infrastructure and services to the central and state governments, taxpayers and other stakeholders for implementation of the Goods and Services Tax (GST).</w:t>
      </w:r>
    </w:p>
    <w:p w:rsidR="007D10BD" w:rsidRPr="007D10BD" w:rsidRDefault="007D10BD" w:rsidP="007D10BD">
      <w:pPr>
        <w:pStyle w:val="NormalWeb"/>
        <w:spacing w:before="0" w:beforeAutospacing="0" w:after="0" w:afterAutospacing="0" w:line="360" w:lineRule="auto"/>
        <w:jc w:val="both"/>
        <w:rPr>
          <w:rFonts w:asciiTheme="minorHAnsi" w:hAnsiTheme="minorHAnsi"/>
        </w:rPr>
      </w:pPr>
      <w:r w:rsidRPr="007D10BD">
        <w:rPr>
          <w:rFonts w:asciiTheme="minorHAnsi" w:hAnsiTheme="minorHAnsi"/>
        </w:rPr>
        <w:t>“The Centre and states will pay user fees based on the number of assessees registered with each of them to meet the running expenses of the GSTN. It will work on a no-profit-no-loss basis,” a senior finance ministry official told FE.</w:t>
      </w:r>
    </w:p>
    <w:p w:rsidR="007D10BD" w:rsidRPr="007D10BD" w:rsidRDefault="007D10BD" w:rsidP="007D10BD">
      <w:pPr>
        <w:pStyle w:val="NormalWeb"/>
        <w:spacing w:before="0" w:beforeAutospacing="0" w:after="0" w:afterAutospacing="0" w:line="360" w:lineRule="auto"/>
        <w:jc w:val="both"/>
        <w:rPr>
          <w:rFonts w:asciiTheme="minorHAnsi" w:hAnsiTheme="minorHAnsi"/>
        </w:rPr>
      </w:pPr>
      <w:r w:rsidRPr="007D10BD">
        <w:rPr>
          <w:rFonts w:asciiTheme="minorHAnsi" w:hAnsiTheme="minorHAnsi"/>
        </w:rPr>
        <w:t>Currently, the Centre has over 16 lakh indirect tax assessees, while states such as Gujarat, Karnataka, Maharashtra, Tamil Nadu, Uttar Pradesh and Delhi have more than one lakh assessees. With the implementation of GST, the government expects the number of taxpayers under indirect tax laws to increase from 36 lakh currently to about 65 lakh.</w:t>
      </w:r>
    </w:p>
    <w:p w:rsidR="007D10BD" w:rsidRPr="007D10BD" w:rsidRDefault="007D10BD" w:rsidP="007D10BD">
      <w:pPr>
        <w:pStyle w:val="NormalWeb"/>
        <w:spacing w:before="0" w:beforeAutospacing="0" w:after="0" w:afterAutospacing="0" w:line="360" w:lineRule="auto"/>
        <w:jc w:val="both"/>
        <w:rPr>
          <w:rFonts w:asciiTheme="minorHAnsi" w:hAnsiTheme="minorHAnsi"/>
        </w:rPr>
      </w:pPr>
      <w:r w:rsidRPr="007D10BD">
        <w:rPr>
          <w:rFonts w:asciiTheme="minorHAnsi" w:hAnsiTheme="minorHAnsi"/>
        </w:rPr>
        <w:t>The</w:t>
      </w:r>
      <w:r w:rsidRPr="007D10BD">
        <w:rPr>
          <w:rStyle w:val="apple-converted-space"/>
          <w:rFonts w:asciiTheme="minorHAnsi" w:hAnsiTheme="minorHAnsi"/>
        </w:rPr>
        <w:t> </w:t>
      </w:r>
      <w:hyperlink r:id="rId10" w:history="1">
        <w:r w:rsidRPr="007D10BD">
          <w:rPr>
            <w:rStyle w:val="Hyperlink"/>
            <w:rFonts w:asciiTheme="minorHAnsi" w:hAnsiTheme="minorHAnsi"/>
            <w:color w:val="auto"/>
            <w:u w:val="none"/>
            <w:bdr w:val="none" w:sz="0" w:space="0" w:color="auto" w:frame="1"/>
          </w:rPr>
          <w:t>Narendra Modi</w:t>
        </w:r>
      </w:hyperlink>
      <w:r w:rsidRPr="007D10BD">
        <w:rPr>
          <w:rStyle w:val="apple-converted-space"/>
          <w:rFonts w:asciiTheme="minorHAnsi" w:hAnsiTheme="minorHAnsi"/>
        </w:rPr>
        <w:t> </w:t>
      </w:r>
      <w:r w:rsidRPr="007D10BD">
        <w:rPr>
          <w:rFonts w:asciiTheme="minorHAnsi" w:hAnsiTheme="minorHAnsi"/>
        </w:rPr>
        <w:t>government’s plans to roll out GST from April 1, 2017</w:t>
      </w:r>
      <w:r w:rsidR="00F25A23">
        <w:rPr>
          <w:rFonts w:asciiTheme="minorHAnsi" w:hAnsiTheme="minorHAnsi"/>
        </w:rPr>
        <w:t xml:space="preserve"> </w:t>
      </w:r>
      <w:r w:rsidRPr="007D10BD">
        <w:rPr>
          <w:rFonts w:asciiTheme="minorHAnsi" w:hAnsiTheme="minorHAnsi"/>
        </w:rPr>
        <w:t>. The GST Council, chaired by Union finance minister</w:t>
      </w:r>
      <w:r w:rsidRPr="007D10BD">
        <w:rPr>
          <w:rStyle w:val="apple-converted-space"/>
          <w:rFonts w:asciiTheme="minorHAnsi" w:hAnsiTheme="minorHAnsi"/>
        </w:rPr>
        <w:t> </w:t>
      </w:r>
      <w:hyperlink r:id="rId11" w:history="1">
        <w:r w:rsidRPr="007D10BD">
          <w:rPr>
            <w:rStyle w:val="Hyperlink"/>
            <w:rFonts w:asciiTheme="minorHAnsi" w:hAnsiTheme="minorHAnsi"/>
            <w:color w:val="auto"/>
            <w:u w:val="none"/>
            <w:bdr w:val="none" w:sz="0" w:space="0" w:color="auto" w:frame="1"/>
          </w:rPr>
          <w:t>Arun Jaitley</w:t>
        </w:r>
      </w:hyperlink>
      <w:r w:rsidRPr="007D10BD">
        <w:rPr>
          <w:rFonts w:asciiTheme="minorHAnsi" w:hAnsiTheme="minorHAnsi"/>
        </w:rPr>
        <w:t>, is already working towards finalising the structure of the new tax law and two rounds of meetings are already concluded.</w:t>
      </w:r>
    </w:p>
    <w:p w:rsidR="007D10BD" w:rsidRPr="007D10BD" w:rsidRDefault="007D10BD" w:rsidP="007D10BD">
      <w:pPr>
        <w:pStyle w:val="NormalWeb"/>
        <w:spacing w:before="0" w:beforeAutospacing="0" w:after="0" w:afterAutospacing="0" w:line="360" w:lineRule="auto"/>
        <w:jc w:val="both"/>
        <w:rPr>
          <w:rFonts w:asciiTheme="minorHAnsi" w:hAnsiTheme="minorHAnsi"/>
        </w:rPr>
      </w:pPr>
      <w:r w:rsidRPr="007D10BD">
        <w:rPr>
          <w:rFonts w:asciiTheme="minorHAnsi" w:hAnsiTheme="minorHAnsi"/>
        </w:rPr>
        <w:t>GSTN has hired Bengaluru-based</w:t>
      </w:r>
      <w:r w:rsidRPr="007D10BD">
        <w:rPr>
          <w:rStyle w:val="apple-converted-space"/>
          <w:rFonts w:asciiTheme="minorHAnsi" w:hAnsiTheme="minorHAnsi"/>
        </w:rPr>
        <w:t> </w:t>
      </w:r>
      <w:hyperlink r:id="rId12" w:history="1">
        <w:r w:rsidRPr="007D10BD">
          <w:rPr>
            <w:rStyle w:val="Hyperlink"/>
            <w:rFonts w:asciiTheme="minorHAnsi" w:hAnsiTheme="minorHAnsi"/>
            <w:color w:val="auto"/>
            <w:u w:val="none"/>
            <w:bdr w:val="none" w:sz="0" w:space="0" w:color="auto" w:frame="1"/>
          </w:rPr>
          <w:t>Infosys</w:t>
        </w:r>
      </w:hyperlink>
      <w:r w:rsidRPr="007D10BD">
        <w:rPr>
          <w:rStyle w:val="apple-converted-space"/>
          <w:rFonts w:asciiTheme="minorHAnsi" w:hAnsiTheme="minorHAnsi"/>
        </w:rPr>
        <w:t> </w:t>
      </w:r>
      <w:r w:rsidRPr="007D10BD">
        <w:rPr>
          <w:rFonts w:asciiTheme="minorHAnsi" w:hAnsiTheme="minorHAnsi"/>
        </w:rPr>
        <w:t>on a project worth Rs 1,380 crore to buy and instal the IT infrastructure required for the network to function and to maintain it for five years. Of this, Rs 550 crore is towards capital cost. GSTN will reportedly subscribe to a loan to fund the expenses, and the repayment liability will be synced with the user charge. GSTN was incorporated on March 28, 2013. At present, the central government holds 24.5% equity in GSTN and all states hold another 24.5%. Balance 51% equity is with non-government financial institutions, including LIC Housing Finance, ICICI Bank, HDFC, HDFC Bank and NSE Strategic Investment Corporation.</w:t>
      </w:r>
    </w:p>
    <w:p w:rsidR="005203AB" w:rsidRDefault="007D10BD" w:rsidP="001A670B">
      <w:pPr>
        <w:pStyle w:val="NormalWeb"/>
        <w:spacing w:before="0" w:beforeAutospacing="0" w:after="0" w:afterAutospacing="0" w:line="360" w:lineRule="auto"/>
        <w:jc w:val="both"/>
        <w:rPr>
          <w:rFonts w:asciiTheme="minorHAnsi" w:hAnsiTheme="minorHAnsi"/>
        </w:rPr>
      </w:pPr>
      <w:r w:rsidRPr="007D10BD">
        <w:rPr>
          <w:rFonts w:asciiTheme="minorHAnsi" w:hAnsiTheme="minorHAnsi"/>
        </w:rPr>
        <w:t>GSTN has been initially funded through a one-time non-recurring grant in-aid of Rs 315 crore from the Centre towards expenditure for the initial setting up and functioning of the SPV for a three-year period after incorporation. After rolling out of GST, the revenue model of GSTN shall consist of user charge to be paid by stakeholders who will use the system and thus, it will be a self-sustaining organisation.</w:t>
      </w:r>
    </w:p>
    <w:p w:rsidR="001A670B" w:rsidRDefault="001A670B" w:rsidP="001A670B">
      <w:pPr>
        <w:pStyle w:val="NormalWeb"/>
        <w:spacing w:before="0" w:beforeAutospacing="0" w:after="0" w:afterAutospacing="0" w:line="360" w:lineRule="auto"/>
        <w:jc w:val="both"/>
        <w:rPr>
          <w:rFonts w:asciiTheme="minorHAnsi" w:hAnsiTheme="minorHAnsi"/>
        </w:rPr>
      </w:pPr>
    </w:p>
    <w:p w:rsidR="001A670B" w:rsidRPr="001A670B" w:rsidRDefault="001A670B" w:rsidP="001A670B">
      <w:pPr>
        <w:pStyle w:val="NormalWeb"/>
        <w:spacing w:before="0" w:beforeAutospacing="0" w:after="0" w:afterAutospacing="0" w:line="360" w:lineRule="auto"/>
        <w:jc w:val="both"/>
        <w:rPr>
          <w:rFonts w:asciiTheme="minorHAnsi" w:hAnsiTheme="minorHAnsi"/>
        </w:rPr>
      </w:pPr>
    </w:p>
    <w:p w:rsidR="001A670B" w:rsidRPr="00F25A23" w:rsidRDefault="00F25A23" w:rsidP="00F25A23">
      <w:pPr>
        <w:pStyle w:val="Heading1"/>
        <w:spacing w:before="0" w:beforeAutospacing="0" w:after="150" w:afterAutospacing="0"/>
        <w:rPr>
          <w:rFonts w:asciiTheme="majorHAnsi" w:hAnsiTheme="majorHAnsi"/>
        </w:rPr>
      </w:pPr>
      <w:r w:rsidRPr="00F25A23">
        <w:rPr>
          <w:rFonts w:asciiTheme="majorHAnsi" w:hAnsiTheme="majorHAnsi"/>
        </w:rPr>
        <w:t xml:space="preserve">Auto </w:t>
      </w:r>
      <w:r w:rsidR="001A670B" w:rsidRPr="00F25A23">
        <w:rPr>
          <w:rFonts w:asciiTheme="majorHAnsi" w:hAnsiTheme="majorHAnsi"/>
        </w:rPr>
        <w:t xml:space="preserve">Industry Demands Two Rates </w:t>
      </w:r>
      <w:r w:rsidRPr="00F25A23">
        <w:rPr>
          <w:rFonts w:asciiTheme="majorHAnsi" w:hAnsiTheme="majorHAnsi"/>
        </w:rPr>
        <w:t>under GST</w:t>
      </w:r>
    </w:p>
    <w:p w:rsidR="00F25A23" w:rsidRPr="00F25A23" w:rsidRDefault="00F25A23" w:rsidP="00F25A23">
      <w:pPr>
        <w:pStyle w:val="body"/>
        <w:shd w:val="clear" w:color="auto" w:fill="FFFFFF"/>
        <w:spacing w:before="0" w:beforeAutospacing="0" w:line="360" w:lineRule="auto"/>
        <w:jc w:val="both"/>
        <w:rPr>
          <w:rFonts w:asciiTheme="minorHAnsi" w:hAnsiTheme="minorHAnsi"/>
        </w:rPr>
      </w:pPr>
      <w:r w:rsidRPr="00F25A23">
        <w:rPr>
          <w:rFonts w:asciiTheme="minorHAnsi" w:hAnsiTheme="minorHAnsi"/>
        </w:rPr>
        <w:t>With the government looking at rolling out GST from the next financial year, Society of Indian Automobile Manufacturers (SIAM) on Thursday said there should be only two rates for passenger vehicles instead of the four at present. The industry body said standard rates must apply on small cars, two-wheelers, three-wheelers and commercial vehicles, while bigger cars should attract 8 per cent more than the standard rate. “There should be only two rates for conventional vehicles,” a statement from SIAM said. “While for a long time there were only two rates of excise duties on passenger cars, in recent years, the bigger car rates have fragmented and today we have four rates for passenger cars excluding electric vehicles and hybrid electric for which lower rates are applicable,” the statement said. It also pitched for a lower GST rate for electric vehicles, hybrid electric vehicles and other alternative fuel vehicles, which should be at least 8 per cent less than the standard rate. “In view of the current scenario, there is a need to look at GST rate for automobiles sensitively,” SIAM said.</w:t>
      </w:r>
    </w:p>
    <w:p w:rsidR="00F25A23" w:rsidRPr="00F25A23" w:rsidRDefault="00F25A23" w:rsidP="00F25A23">
      <w:pPr>
        <w:pStyle w:val="body"/>
        <w:shd w:val="clear" w:color="auto" w:fill="FFFFFF"/>
        <w:spacing w:before="0" w:beforeAutospacing="0" w:line="360" w:lineRule="auto"/>
        <w:jc w:val="both"/>
        <w:rPr>
          <w:rFonts w:asciiTheme="minorHAnsi" w:hAnsiTheme="minorHAnsi"/>
        </w:rPr>
      </w:pPr>
      <w:r w:rsidRPr="00F25A23">
        <w:rPr>
          <w:rFonts w:asciiTheme="minorHAnsi" w:hAnsiTheme="minorHAnsi"/>
        </w:rPr>
        <w:t>SIAM said its “members have committed to building the nation responsibly and as such no automotive product should be clubbed with goods that are health hazard, like cigarettes, pan masala, liquor, etc.”</w:t>
      </w:r>
    </w:p>
    <w:p w:rsidR="00F25A23" w:rsidRPr="00F25A23" w:rsidRDefault="00F25A23" w:rsidP="00F25A23">
      <w:pPr>
        <w:pStyle w:val="body"/>
        <w:shd w:val="clear" w:color="auto" w:fill="FFFFFF"/>
        <w:spacing w:before="0" w:beforeAutospacing="0" w:line="360" w:lineRule="auto"/>
        <w:jc w:val="both"/>
        <w:rPr>
          <w:rFonts w:asciiTheme="minorHAnsi" w:hAnsiTheme="minorHAnsi"/>
        </w:rPr>
      </w:pPr>
      <w:r w:rsidRPr="00F25A23">
        <w:rPr>
          <w:rFonts w:asciiTheme="minorHAnsi" w:hAnsiTheme="minorHAnsi"/>
        </w:rPr>
        <w:t>It added that the automobile industry hads been looking forward to the GST as for manufacturing the industry accumulates a lot of embedded taxes and duties which make manufacturing in the country less competitive.</w:t>
      </w:r>
    </w:p>
    <w:p w:rsidR="00F25A23" w:rsidRPr="00F25A23" w:rsidRDefault="00F25A23" w:rsidP="00F25A23">
      <w:pPr>
        <w:pStyle w:val="body"/>
        <w:shd w:val="clear" w:color="auto" w:fill="FFFFFF"/>
        <w:spacing w:before="0" w:beforeAutospacing="0" w:line="360" w:lineRule="auto"/>
        <w:jc w:val="both"/>
        <w:rPr>
          <w:rFonts w:asciiTheme="minorHAnsi" w:hAnsiTheme="minorHAnsi"/>
        </w:rPr>
      </w:pPr>
      <w:r w:rsidRPr="00F25A23">
        <w:rPr>
          <w:rFonts w:asciiTheme="minorHAnsi" w:hAnsiTheme="minorHAnsi"/>
        </w:rPr>
        <w:t>Further, it pointed out that its members have made large huge investments in locations falling under Area-Based Exemption scheme in places such as like Uttarakhand and Himachal Pradesh. “The period of the scheme is still not over and as such there is a need to protect the benefits to those units under GST regime till the end of the scheme,” it said.</w:t>
      </w:r>
    </w:p>
    <w:p w:rsidR="00F25A23" w:rsidRPr="00F25A23" w:rsidRDefault="00F25A23" w:rsidP="00F25A23">
      <w:pPr>
        <w:pStyle w:val="body"/>
        <w:shd w:val="clear" w:color="auto" w:fill="FFFFFF"/>
        <w:spacing w:before="0" w:beforeAutospacing="0" w:line="360" w:lineRule="auto"/>
        <w:jc w:val="both"/>
        <w:rPr>
          <w:rFonts w:asciiTheme="minorHAnsi" w:hAnsiTheme="minorHAnsi"/>
        </w:rPr>
      </w:pPr>
      <w:r w:rsidRPr="00F25A23">
        <w:rPr>
          <w:rFonts w:asciiTheme="minorHAnsi" w:hAnsiTheme="minorHAnsi"/>
        </w:rPr>
        <w:t>In addition, the industry body said, the road tax and registration tax still remain outside the GST framework. This will further burden the consumer and Road Taxes needs to be subsumed in GST.</w:t>
      </w:r>
    </w:p>
    <w:p w:rsidR="00F25A23" w:rsidRPr="00F25A23" w:rsidRDefault="00F25A23" w:rsidP="00F25A23">
      <w:pPr>
        <w:pStyle w:val="body"/>
        <w:shd w:val="clear" w:color="auto" w:fill="FFFFFF"/>
        <w:spacing w:before="0" w:beforeAutospacing="0" w:line="360" w:lineRule="auto"/>
        <w:jc w:val="both"/>
        <w:rPr>
          <w:rFonts w:asciiTheme="minorHAnsi" w:hAnsiTheme="minorHAnsi"/>
        </w:rPr>
      </w:pPr>
      <w:r w:rsidRPr="00F25A23">
        <w:rPr>
          <w:rFonts w:asciiTheme="minorHAnsi" w:hAnsiTheme="minorHAnsi"/>
        </w:rPr>
        <w:t>The industry body said it hads given a detailed feedback for the consideration of the government. “Some of the transition issues may have serious short-term implications for the economy, if not addressed now, though in the longer run the GST framework currently contemplated will be best for the economy,” it said.</w:t>
      </w:r>
    </w:p>
    <w:p w:rsidR="006B2627" w:rsidRPr="007B4D08" w:rsidRDefault="008B49AA" w:rsidP="00807BD5">
      <w:pPr>
        <w:spacing w:after="200" w:line="276" w:lineRule="auto"/>
        <w:jc w:val="both"/>
        <w:rPr>
          <w:rFonts w:ascii="Arial" w:hAnsi="Arial" w:cs="Arial"/>
          <w:b/>
          <w:bCs/>
          <w:iCs/>
          <w:color w:val="1F497D" w:themeColor="text2"/>
          <w:sz w:val="20"/>
          <w:szCs w:val="20"/>
          <w:lang w:val="en-IN"/>
        </w:rPr>
      </w:pPr>
      <w:r w:rsidRPr="007B4D08">
        <w:rPr>
          <w:rFonts w:ascii="Arial" w:hAnsi="Arial" w:cs="Arial"/>
          <w:i/>
          <w:color w:val="1F497D" w:themeColor="text2"/>
          <w:sz w:val="20"/>
          <w:szCs w:val="20"/>
        </w:rPr>
        <w:t xml:space="preserve">Disclaimer : </w:t>
      </w:r>
      <w:r w:rsidR="003B67AE" w:rsidRPr="007B4D08">
        <w:rPr>
          <w:rFonts w:ascii="Arial" w:hAnsi="Arial" w:cs="Arial"/>
          <w:i/>
          <w:color w:val="1F497D" w:themeColor="text2"/>
          <w:sz w:val="20"/>
          <w:szCs w:val="20"/>
        </w:rPr>
        <w:t xml:space="preserve">The news in the GST Corner is purely according to the information available in public domain and </w:t>
      </w:r>
      <w:r w:rsidR="006257C5" w:rsidRPr="007B4D08">
        <w:rPr>
          <w:rFonts w:ascii="Arial" w:hAnsi="Arial" w:cs="Arial"/>
          <w:i/>
          <w:color w:val="1F497D" w:themeColor="text2"/>
          <w:sz w:val="20"/>
          <w:szCs w:val="20"/>
        </w:rPr>
        <w:t xml:space="preserve">does not necessarily reflect the views of </w:t>
      </w:r>
      <w:r w:rsidR="003B67AE" w:rsidRPr="007B4D08">
        <w:rPr>
          <w:rFonts w:ascii="Arial" w:hAnsi="Arial" w:cs="Arial"/>
          <w:i/>
          <w:color w:val="1F497D" w:themeColor="text2"/>
          <w:sz w:val="20"/>
          <w:szCs w:val="20"/>
        </w:rPr>
        <w:t>ICSI</w:t>
      </w:r>
      <w:r w:rsidR="00841CF2" w:rsidRPr="007B4D08">
        <w:rPr>
          <w:rFonts w:ascii="Arial" w:hAnsi="Arial" w:cs="Arial"/>
          <w:i/>
          <w:color w:val="1F497D" w:themeColor="text2"/>
          <w:sz w:val="20"/>
          <w:szCs w:val="20"/>
        </w:rPr>
        <w:t>.</w:t>
      </w:r>
      <w:r w:rsidR="003B67AE" w:rsidRPr="007B4D08">
        <w:rPr>
          <w:rFonts w:ascii="Arial" w:eastAsia="Times New Roman" w:hAnsi="Arial" w:cs="Arial"/>
          <w:i/>
          <w:iCs/>
          <w:color w:val="1F497D" w:themeColor="text2"/>
          <w:sz w:val="20"/>
          <w:szCs w:val="20"/>
        </w:rPr>
        <w:t xml:space="preserve"> Any person wishing to act on the basis of this document should do so only after cross checking with the original</w:t>
      </w:r>
      <w:r w:rsidR="00841CF2" w:rsidRPr="007B4D08">
        <w:rPr>
          <w:rFonts w:ascii="Arial" w:eastAsia="Times New Roman" w:hAnsi="Arial" w:cs="Arial"/>
          <w:i/>
          <w:iCs/>
          <w:color w:val="1F497D" w:themeColor="text2"/>
          <w:sz w:val="20"/>
          <w:szCs w:val="20"/>
        </w:rPr>
        <w:t xml:space="preserve"> </w:t>
      </w:r>
      <w:r w:rsidR="003B67AE" w:rsidRPr="007B4D08">
        <w:rPr>
          <w:rFonts w:ascii="Arial" w:eastAsia="Times New Roman" w:hAnsi="Arial" w:cs="Arial"/>
          <w:i/>
          <w:iCs/>
          <w:color w:val="1F497D" w:themeColor="text2"/>
          <w:sz w:val="20"/>
          <w:szCs w:val="20"/>
        </w:rPr>
        <w:t>source.</w:t>
      </w:r>
    </w:p>
    <w:sectPr w:rsidR="006B2627" w:rsidRPr="007B4D08"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CF5" w:rsidRDefault="00884CF5" w:rsidP="00915541">
      <w:r>
        <w:separator/>
      </w:r>
    </w:p>
  </w:endnote>
  <w:endnote w:type="continuationSeparator" w:id="1">
    <w:p w:rsidR="00884CF5" w:rsidRDefault="00884CF5"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CF5" w:rsidRDefault="00884CF5" w:rsidP="00915541">
      <w:r>
        <w:separator/>
      </w:r>
    </w:p>
  </w:footnote>
  <w:footnote w:type="continuationSeparator" w:id="1">
    <w:p w:rsidR="00884CF5" w:rsidRDefault="00884CF5"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C30C5"/>
    <w:multiLevelType w:val="multilevel"/>
    <w:tmpl w:val="4DB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
  </w:num>
  <w:num w:numId="6">
    <w:abstractNumId w:val="6"/>
  </w:num>
  <w:num w:numId="7">
    <w:abstractNumId w:val="2"/>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16341"/>
    <w:rsid w:val="00123389"/>
    <w:rsid w:val="0012406A"/>
    <w:rsid w:val="00126990"/>
    <w:rsid w:val="00136D80"/>
    <w:rsid w:val="00145BF8"/>
    <w:rsid w:val="00147B1C"/>
    <w:rsid w:val="00151C40"/>
    <w:rsid w:val="001532FD"/>
    <w:rsid w:val="00153CD0"/>
    <w:rsid w:val="00156058"/>
    <w:rsid w:val="001615EE"/>
    <w:rsid w:val="001634D0"/>
    <w:rsid w:val="00176B37"/>
    <w:rsid w:val="0019248C"/>
    <w:rsid w:val="001925F4"/>
    <w:rsid w:val="00194988"/>
    <w:rsid w:val="001A1EFD"/>
    <w:rsid w:val="001A3E0B"/>
    <w:rsid w:val="001A670B"/>
    <w:rsid w:val="001B40D5"/>
    <w:rsid w:val="001B555F"/>
    <w:rsid w:val="001C7F69"/>
    <w:rsid w:val="001D0580"/>
    <w:rsid w:val="001D07C0"/>
    <w:rsid w:val="001D5D4B"/>
    <w:rsid w:val="001F3EED"/>
    <w:rsid w:val="001F4C79"/>
    <w:rsid w:val="002014ED"/>
    <w:rsid w:val="00203D23"/>
    <w:rsid w:val="00204577"/>
    <w:rsid w:val="00213D1E"/>
    <w:rsid w:val="002154C2"/>
    <w:rsid w:val="00224BC8"/>
    <w:rsid w:val="00225C09"/>
    <w:rsid w:val="00230C39"/>
    <w:rsid w:val="00252953"/>
    <w:rsid w:val="00263DB5"/>
    <w:rsid w:val="002666B9"/>
    <w:rsid w:val="002766C3"/>
    <w:rsid w:val="0028378D"/>
    <w:rsid w:val="00283834"/>
    <w:rsid w:val="00286638"/>
    <w:rsid w:val="00292275"/>
    <w:rsid w:val="002940A0"/>
    <w:rsid w:val="002970B8"/>
    <w:rsid w:val="002A0594"/>
    <w:rsid w:val="002A6369"/>
    <w:rsid w:val="002A70A4"/>
    <w:rsid w:val="002B06B8"/>
    <w:rsid w:val="002B1D34"/>
    <w:rsid w:val="002B33B0"/>
    <w:rsid w:val="002C08F0"/>
    <w:rsid w:val="002C12E3"/>
    <w:rsid w:val="002C26C7"/>
    <w:rsid w:val="002C32F4"/>
    <w:rsid w:val="002E18E9"/>
    <w:rsid w:val="002E196B"/>
    <w:rsid w:val="002F0127"/>
    <w:rsid w:val="00303C86"/>
    <w:rsid w:val="0030779C"/>
    <w:rsid w:val="00324CD9"/>
    <w:rsid w:val="00327195"/>
    <w:rsid w:val="0033382E"/>
    <w:rsid w:val="00333972"/>
    <w:rsid w:val="003409A7"/>
    <w:rsid w:val="00340D67"/>
    <w:rsid w:val="00350B4C"/>
    <w:rsid w:val="00360C1F"/>
    <w:rsid w:val="0036541E"/>
    <w:rsid w:val="0036634D"/>
    <w:rsid w:val="0037108A"/>
    <w:rsid w:val="00371298"/>
    <w:rsid w:val="00375C4A"/>
    <w:rsid w:val="003778A1"/>
    <w:rsid w:val="00382E0C"/>
    <w:rsid w:val="00384A0A"/>
    <w:rsid w:val="00385EF3"/>
    <w:rsid w:val="003931ED"/>
    <w:rsid w:val="00393BF0"/>
    <w:rsid w:val="0039751F"/>
    <w:rsid w:val="003A5041"/>
    <w:rsid w:val="003A7B4E"/>
    <w:rsid w:val="003A7D14"/>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13DCE"/>
    <w:rsid w:val="004305E6"/>
    <w:rsid w:val="00430813"/>
    <w:rsid w:val="004337FE"/>
    <w:rsid w:val="00433B4C"/>
    <w:rsid w:val="00436132"/>
    <w:rsid w:val="00441613"/>
    <w:rsid w:val="00443765"/>
    <w:rsid w:val="00444125"/>
    <w:rsid w:val="00445F79"/>
    <w:rsid w:val="0045477F"/>
    <w:rsid w:val="00454818"/>
    <w:rsid w:val="004577E5"/>
    <w:rsid w:val="00467F01"/>
    <w:rsid w:val="004735C4"/>
    <w:rsid w:val="00475973"/>
    <w:rsid w:val="00476992"/>
    <w:rsid w:val="004778E6"/>
    <w:rsid w:val="00481567"/>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50057C"/>
    <w:rsid w:val="00506155"/>
    <w:rsid w:val="005071E3"/>
    <w:rsid w:val="005203AB"/>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3CD8"/>
    <w:rsid w:val="00583DFD"/>
    <w:rsid w:val="00587352"/>
    <w:rsid w:val="00591697"/>
    <w:rsid w:val="00594B73"/>
    <w:rsid w:val="005A429B"/>
    <w:rsid w:val="005B25B7"/>
    <w:rsid w:val="005B2D17"/>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702A"/>
    <w:rsid w:val="00607754"/>
    <w:rsid w:val="00610497"/>
    <w:rsid w:val="00615D1D"/>
    <w:rsid w:val="00622E65"/>
    <w:rsid w:val="00623ECD"/>
    <w:rsid w:val="006257C5"/>
    <w:rsid w:val="00626855"/>
    <w:rsid w:val="00630D7A"/>
    <w:rsid w:val="006412F5"/>
    <w:rsid w:val="006418AA"/>
    <w:rsid w:val="00661A1B"/>
    <w:rsid w:val="00667ADE"/>
    <w:rsid w:val="00670145"/>
    <w:rsid w:val="00672152"/>
    <w:rsid w:val="006725AD"/>
    <w:rsid w:val="00672D7F"/>
    <w:rsid w:val="006741F0"/>
    <w:rsid w:val="006757C3"/>
    <w:rsid w:val="00686744"/>
    <w:rsid w:val="006909FD"/>
    <w:rsid w:val="006971AA"/>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131B"/>
    <w:rsid w:val="007C41C6"/>
    <w:rsid w:val="007C617B"/>
    <w:rsid w:val="007D10BD"/>
    <w:rsid w:val="007D5682"/>
    <w:rsid w:val="007E2812"/>
    <w:rsid w:val="007F2B46"/>
    <w:rsid w:val="007F3416"/>
    <w:rsid w:val="00800025"/>
    <w:rsid w:val="00807BD5"/>
    <w:rsid w:val="00817937"/>
    <w:rsid w:val="008335D6"/>
    <w:rsid w:val="00833ADE"/>
    <w:rsid w:val="008365C6"/>
    <w:rsid w:val="00841CF2"/>
    <w:rsid w:val="00843083"/>
    <w:rsid w:val="00846653"/>
    <w:rsid w:val="008530A0"/>
    <w:rsid w:val="008546CA"/>
    <w:rsid w:val="00855071"/>
    <w:rsid w:val="00855205"/>
    <w:rsid w:val="00857C26"/>
    <w:rsid w:val="00860ADA"/>
    <w:rsid w:val="00884CF5"/>
    <w:rsid w:val="008905B2"/>
    <w:rsid w:val="0089419C"/>
    <w:rsid w:val="008941CF"/>
    <w:rsid w:val="008941F1"/>
    <w:rsid w:val="00896BD0"/>
    <w:rsid w:val="008A4E6A"/>
    <w:rsid w:val="008B361C"/>
    <w:rsid w:val="008B49AA"/>
    <w:rsid w:val="008D0F3B"/>
    <w:rsid w:val="008E3462"/>
    <w:rsid w:val="008E64C8"/>
    <w:rsid w:val="008E7919"/>
    <w:rsid w:val="008F14D0"/>
    <w:rsid w:val="008F33F8"/>
    <w:rsid w:val="009011C7"/>
    <w:rsid w:val="009017C9"/>
    <w:rsid w:val="009110DE"/>
    <w:rsid w:val="009126D0"/>
    <w:rsid w:val="00915541"/>
    <w:rsid w:val="00921C55"/>
    <w:rsid w:val="00930335"/>
    <w:rsid w:val="0094073C"/>
    <w:rsid w:val="00941C19"/>
    <w:rsid w:val="00942294"/>
    <w:rsid w:val="009455B0"/>
    <w:rsid w:val="0095227A"/>
    <w:rsid w:val="00953FD2"/>
    <w:rsid w:val="009566E1"/>
    <w:rsid w:val="00961888"/>
    <w:rsid w:val="00962EA5"/>
    <w:rsid w:val="00972BF6"/>
    <w:rsid w:val="0097727F"/>
    <w:rsid w:val="009835A2"/>
    <w:rsid w:val="00984563"/>
    <w:rsid w:val="0099115F"/>
    <w:rsid w:val="009A0933"/>
    <w:rsid w:val="009A0B17"/>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01A3"/>
    <w:rsid w:val="00A31F7E"/>
    <w:rsid w:val="00A320A7"/>
    <w:rsid w:val="00A35E50"/>
    <w:rsid w:val="00A4154F"/>
    <w:rsid w:val="00A45031"/>
    <w:rsid w:val="00A450E2"/>
    <w:rsid w:val="00A52CD9"/>
    <w:rsid w:val="00A610D7"/>
    <w:rsid w:val="00A71B01"/>
    <w:rsid w:val="00A77EBE"/>
    <w:rsid w:val="00A823D6"/>
    <w:rsid w:val="00A85D75"/>
    <w:rsid w:val="00A86AC5"/>
    <w:rsid w:val="00AB075F"/>
    <w:rsid w:val="00AB61CC"/>
    <w:rsid w:val="00AD11F0"/>
    <w:rsid w:val="00AD32E1"/>
    <w:rsid w:val="00AF13A6"/>
    <w:rsid w:val="00AF6679"/>
    <w:rsid w:val="00AF7BE9"/>
    <w:rsid w:val="00B00541"/>
    <w:rsid w:val="00B00EC8"/>
    <w:rsid w:val="00B03BF3"/>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222C"/>
    <w:rsid w:val="00B60812"/>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44DB"/>
    <w:rsid w:val="00BD53B3"/>
    <w:rsid w:val="00BD59DB"/>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03FF"/>
    <w:rsid w:val="00CD23B6"/>
    <w:rsid w:val="00CE5CD5"/>
    <w:rsid w:val="00CF201A"/>
    <w:rsid w:val="00CF6FEB"/>
    <w:rsid w:val="00D02C13"/>
    <w:rsid w:val="00D1030B"/>
    <w:rsid w:val="00D221CA"/>
    <w:rsid w:val="00D26E46"/>
    <w:rsid w:val="00D33A5A"/>
    <w:rsid w:val="00D503E1"/>
    <w:rsid w:val="00D521DC"/>
    <w:rsid w:val="00D5310B"/>
    <w:rsid w:val="00D55343"/>
    <w:rsid w:val="00D57CBA"/>
    <w:rsid w:val="00D604ED"/>
    <w:rsid w:val="00D61745"/>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5A23"/>
    <w:rsid w:val="00F27AAF"/>
    <w:rsid w:val="00F33B26"/>
    <w:rsid w:val="00F37993"/>
    <w:rsid w:val="00F41CD7"/>
    <w:rsid w:val="00F4445F"/>
    <w:rsid w:val="00F47CFC"/>
    <w:rsid w:val="00F5138B"/>
    <w:rsid w:val="00F51A8A"/>
    <w:rsid w:val="00F577E3"/>
    <w:rsid w:val="00F65C6A"/>
    <w:rsid w:val="00F67D82"/>
    <w:rsid w:val="00F72529"/>
    <w:rsid w:val="00F74D60"/>
    <w:rsid w:val="00F76162"/>
    <w:rsid w:val="00F81B5F"/>
    <w:rsid w:val="00FA0547"/>
    <w:rsid w:val="00FA501B"/>
    <w:rsid w:val="00FA7FBC"/>
    <w:rsid w:val="00FB12DA"/>
    <w:rsid w:val="00FB44FA"/>
    <w:rsid w:val="00FC6412"/>
    <w:rsid w:val="00FD3D4F"/>
    <w:rsid w:val="00FE46E3"/>
    <w:rsid w:val="00FE7B95"/>
    <w:rsid w:val="00FE7CCA"/>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2113">
      <w:bodyDiv w:val="1"/>
      <w:marLeft w:val="0"/>
      <w:marRight w:val="0"/>
      <w:marTop w:val="0"/>
      <w:marBottom w:val="0"/>
      <w:divBdr>
        <w:top w:val="none" w:sz="0" w:space="0" w:color="auto"/>
        <w:left w:val="none" w:sz="0" w:space="0" w:color="auto"/>
        <w:bottom w:val="none" w:sz="0" w:space="0" w:color="auto"/>
        <w:right w:val="none" w:sz="0" w:space="0" w:color="auto"/>
      </w:divBdr>
      <w:divsChild>
        <w:div w:id="1813332391">
          <w:marLeft w:val="0"/>
          <w:marRight w:val="0"/>
          <w:marTop w:val="0"/>
          <w:marBottom w:val="60"/>
          <w:divBdr>
            <w:top w:val="none" w:sz="0" w:space="0" w:color="auto"/>
            <w:left w:val="none" w:sz="0" w:space="0" w:color="auto"/>
            <w:bottom w:val="single" w:sz="6" w:space="2" w:color="CCCCCC"/>
            <w:right w:val="none" w:sz="0" w:space="0" w:color="auto"/>
          </w:divBdr>
        </w:div>
        <w:div w:id="1653677761">
          <w:marLeft w:val="0"/>
          <w:marRight w:val="0"/>
          <w:marTop w:val="0"/>
          <w:marBottom w:val="0"/>
          <w:divBdr>
            <w:top w:val="none" w:sz="0" w:space="0" w:color="auto"/>
            <w:left w:val="none" w:sz="0" w:space="0" w:color="auto"/>
            <w:bottom w:val="none" w:sz="0" w:space="0" w:color="auto"/>
            <w:right w:val="none" w:sz="0" w:space="0" w:color="auto"/>
          </w:divBdr>
          <w:divsChild>
            <w:div w:id="798062870">
              <w:marLeft w:val="0"/>
              <w:marRight w:val="0"/>
              <w:marTop w:val="0"/>
              <w:marBottom w:val="75"/>
              <w:divBdr>
                <w:top w:val="none" w:sz="0" w:space="0" w:color="auto"/>
                <w:left w:val="none" w:sz="0" w:space="0" w:color="auto"/>
                <w:bottom w:val="none" w:sz="0" w:space="0" w:color="auto"/>
                <w:right w:val="none" w:sz="0" w:space="0" w:color="auto"/>
              </w:divBdr>
              <w:divsChild>
                <w:div w:id="1008944539">
                  <w:marLeft w:val="0"/>
                  <w:marRight w:val="225"/>
                  <w:marTop w:val="0"/>
                  <w:marBottom w:val="0"/>
                  <w:divBdr>
                    <w:top w:val="none" w:sz="0" w:space="0" w:color="auto"/>
                    <w:left w:val="none" w:sz="0" w:space="0" w:color="auto"/>
                    <w:bottom w:val="none" w:sz="0" w:space="0" w:color="auto"/>
                    <w:right w:val="none" w:sz="0" w:space="0" w:color="auto"/>
                  </w:divBdr>
                </w:div>
                <w:div w:id="1436244231">
                  <w:marLeft w:val="0"/>
                  <w:marRight w:val="225"/>
                  <w:marTop w:val="0"/>
                  <w:marBottom w:val="0"/>
                  <w:divBdr>
                    <w:top w:val="none" w:sz="0" w:space="0" w:color="auto"/>
                    <w:left w:val="none" w:sz="0" w:space="0" w:color="auto"/>
                    <w:bottom w:val="none" w:sz="0" w:space="0" w:color="auto"/>
                    <w:right w:val="none" w:sz="0" w:space="0" w:color="auto"/>
                  </w:divBdr>
                </w:div>
                <w:div w:id="53255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64484708">
          <w:marLeft w:val="0"/>
          <w:marRight w:val="0"/>
          <w:marTop w:val="0"/>
          <w:marBottom w:val="0"/>
          <w:divBdr>
            <w:top w:val="none" w:sz="0" w:space="0" w:color="auto"/>
            <w:left w:val="none" w:sz="0" w:space="0" w:color="auto"/>
            <w:bottom w:val="none" w:sz="0" w:space="0" w:color="auto"/>
            <w:right w:val="none" w:sz="0" w:space="0" w:color="auto"/>
          </w:divBdr>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2725211">
      <w:bodyDiv w:val="1"/>
      <w:marLeft w:val="0"/>
      <w:marRight w:val="0"/>
      <w:marTop w:val="0"/>
      <w:marBottom w:val="0"/>
      <w:divBdr>
        <w:top w:val="none" w:sz="0" w:space="0" w:color="auto"/>
        <w:left w:val="none" w:sz="0" w:space="0" w:color="auto"/>
        <w:bottom w:val="none" w:sz="0" w:space="0" w:color="auto"/>
        <w:right w:val="none" w:sz="0" w:space="0" w:color="auto"/>
      </w:divBdr>
      <w:divsChild>
        <w:div w:id="353576698">
          <w:marLeft w:val="0"/>
          <w:marRight w:val="0"/>
          <w:marTop w:val="0"/>
          <w:marBottom w:val="0"/>
          <w:divBdr>
            <w:top w:val="none" w:sz="0" w:space="0" w:color="auto"/>
            <w:left w:val="none" w:sz="0" w:space="0" w:color="auto"/>
            <w:bottom w:val="none" w:sz="0" w:space="0" w:color="auto"/>
            <w:right w:val="none" w:sz="0" w:space="0" w:color="auto"/>
          </w:divBdr>
        </w:div>
        <w:div w:id="111289557">
          <w:marLeft w:val="0"/>
          <w:marRight w:val="0"/>
          <w:marTop w:val="0"/>
          <w:marBottom w:val="0"/>
          <w:divBdr>
            <w:top w:val="none" w:sz="0" w:space="0" w:color="auto"/>
            <w:left w:val="none" w:sz="0" w:space="0" w:color="auto"/>
            <w:bottom w:val="none" w:sz="0" w:space="0" w:color="auto"/>
            <w:right w:val="none" w:sz="0" w:space="0" w:color="auto"/>
          </w:divBdr>
          <w:divsChild>
            <w:div w:id="1477064895">
              <w:marLeft w:val="0"/>
              <w:marRight w:val="0"/>
              <w:marTop w:val="0"/>
              <w:marBottom w:val="0"/>
              <w:divBdr>
                <w:top w:val="none" w:sz="0" w:space="0" w:color="auto"/>
                <w:left w:val="none" w:sz="0" w:space="0" w:color="auto"/>
                <w:bottom w:val="none" w:sz="0" w:space="0" w:color="auto"/>
                <w:right w:val="none" w:sz="0" w:space="0" w:color="auto"/>
              </w:divBdr>
              <w:divsChild>
                <w:div w:id="1066340996">
                  <w:marLeft w:val="0"/>
                  <w:marRight w:val="0"/>
                  <w:marTop w:val="0"/>
                  <w:marBottom w:val="0"/>
                  <w:divBdr>
                    <w:top w:val="none" w:sz="0" w:space="0" w:color="auto"/>
                    <w:left w:val="none" w:sz="0" w:space="0" w:color="auto"/>
                    <w:bottom w:val="none" w:sz="0" w:space="0" w:color="auto"/>
                    <w:right w:val="none" w:sz="0" w:space="0" w:color="auto"/>
                  </w:divBdr>
                  <w:divsChild>
                    <w:div w:id="1564026854">
                      <w:marLeft w:val="0"/>
                      <w:marRight w:val="0"/>
                      <w:marTop w:val="0"/>
                      <w:marBottom w:val="0"/>
                      <w:divBdr>
                        <w:top w:val="none" w:sz="0" w:space="0" w:color="auto"/>
                        <w:left w:val="none" w:sz="0" w:space="0" w:color="auto"/>
                        <w:bottom w:val="none" w:sz="0" w:space="0" w:color="auto"/>
                        <w:right w:val="none" w:sz="0" w:space="0" w:color="auto"/>
                      </w:divBdr>
                    </w:div>
                    <w:div w:id="6422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08190">
          <w:marLeft w:val="0"/>
          <w:marRight w:val="0"/>
          <w:marTop w:val="0"/>
          <w:marBottom w:val="0"/>
          <w:divBdr>
            <w:top w:val="none" w:sz="0" w:space="0" w:color="auto"/>
            <w:left w:val="none" w:sz="0" w:space="0" w:color="auto"/>
            <w:bottom w:val="none" w:sz="0" w:space="0" w:color="auto"/>
            <w:right w:val="none" w:sz="0" w:space="0" w:color="auto"/>
          </w:divBdr>
          <w:divsChild>
            <w:div w:id="255212395">
              <w:marLeft w:val="0"/>
              <w:marRight w:val="0"/>
              <w:marTop w:val="0"/>
              <w:marBottom w:val="0"/>
              <w:divBdr>
                <w:top w:val="none" w:sz="0" w:space="0" w:color="auto"/>
                <w:left w:val="none" w:sz="0" w:space="0" w:color="auto"/>
                <w:bottom w:val="none" w:sz="0" w:space="0" w:color="auto"/>
                <w:right w:val="none" w:sz="0" w:space="0" w:color="auto"/>
              </w:divBdr>
              <w:divsChild>
                <w:div w:id="2851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ialexpress.com/tag/infosys/" TargetMode="Externa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express.com/tag/arun-jaitley/" TargetMode="External"/><Relationship Id="rId5" Type="http://schemas.openxmlformats.org/officeDocument/2006/relationships/webSettings" Target="webSettings.xml"/><Relationship Id="rId10" Type="http://schemas.openxmlformats.org/officeDocument/2006/relationships/hyperlink" Target="http://www.financialexpress.com/tag/narendra-mod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253</cp:revision>
  <cp:lastPrinted>2016-04-11T04:27:00Z</cp:lastPrinted>
  <dcterms:created xsi:type="dcterms:W3CDTF">2016-02-19T04:37:00Z</dcterms:created>
  <dcterms:modified xsi:type="dcterms:W3CDTF">2016-10-07T06:01:00Z</dcterms:modified>
</cp:coreProperties>
</file>