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F16" w:rsidRPr="0050057C" w:rsidRDefault="004778E6" w:rsidP="004778E6">
      <w:pPr>
        <w:pStyle w:val="NormalWeb"/>
        <w:tabs>
          <w:tab w:val="left" w:pos="2268"/>
        </w:tabs>
        <w:spacing w:before="0" w:beforeAutospacing="0" w:after="120" w:afterAutospacing="0"/>
        <w:ind w:right="180"/>
        <w:rPr>
          <w:rFonts w:asciiTheme="majorHAnsi" w:hAnsiTheme="majorHAnsi"/>
          <w:b/>
          <w:noProof/>
          <w:sz w:val="28"/>
          <w:szCs w:val="28"/>
          <w:lang w:val="en-IN" w:eastAsia="en-IN"/>
        </w:rPr>
      </w:pPr>
      <w:r w:rsidRPr="0050057C">
        <w:rPr>
          <w:rFonts w:asciiTheme="majorHAnsi" w:hAnsiTheme="majorHAnsi"/>
          <w:b/>
          <w:noProof/>
          <w:sz w:val="28"/>
          <w:szCs w:val="28"/>
          <w:lang w:val="en-IN" w:eastAsia="en-IN"/>
        </w:rPr>
        <w:tab/>
      </w:r>
      <w:r w:rsidRPr="0050057C">
        <w:rPr>
          <w:rFonts w:asciiTheme="majorHAnsi" w:hAnsiTheme="majorHAnsi"/>
          <w:b/>
          <w:noProof/>
          <w:sz w:val="28"/>
          <w:szCs w:val="28"/>
          <w:lang w:val="en-IN" w:eastAsia="en-IN"/>
        </w:rPr>
        <w:tab/>
      </w:r>
      <w:r w:rsidRPr="0050057C">
        <w:rPr>
          <w:rFonts w:asciiTheme="majorHAnsi" w:hAnsiTheme="majorHAnsi"/>
          <w:b/>
          <w:noProof/>
          <w:sz w:val="28"/>
          <w:szCs w:val="28"/>
          <w:lang w:val="en-IN" w:eastAsia="en-IN"/>
        </w:rPr>
        <w:tab/>
      </w:r>
      <w:r w:rsidR="00A320A7" w:rsidRPr="0050057C">
        <w:rPr>
          <w:rFonts w:asciiTheme="majorHAnsi" w:hAnsiTheme="majorHAnsi"/>
          <w:b/>
          <w:noProof/>
          <w:sz w:val="28"/>
          <w:szCs w:val="28"/>
          <w:lang w:val="en-IN" w:eastAsia="en-IN"/>
        </w:rPr>
        <w:t>GST</w:t>
      </w:r>
      <w:r w:rsidR="00523F16" w:rsidRPr="0050057C">
        <w:rPr>
          <w:rFonts w:asciiTheme="majorHAnsi" w:hAnsiTheme="majorHAnsi"/>
          <w:b/>
          <w:noProof/>
          <w:sz w:val="28"/>
          <w:szCs w:val="28"/>
          <w:lang w:val="en-IN" w:eastAsia="en-IN"/>
        </w:rPr>
        <w:t xml:space="preserve"> HEADLINES</w:t>
      </w:r>
    </w:p>
    <w:p w:rsidR="009E1F2A" w:rsidRDefault="0050057C" w:rsidP="00573995">
      <w:pPr>
        <w:pStyle w:val="NormalWeb"/>
        <w:spacing w:before="0" w:beforeAutospacing="0" w:after="120" w:afterAutospacing="0"/>
        <w:ind w:left="2880" w:right="180" w:firstLine="720"/>
        <w:rPr>
          <w:rFonts w:asciiTheme="majorHAnsi" w:hAnsiTheme="majorHAnsi" w:cs="Cambria"/>
          <w:b/>
          <w:bCs/>
          <w:iCs/>
          <w:lang w:val="en-IN"/>
        </w:rPr>
      </w:pPr>
      <w:r>
        <w:rPr>
          <w:rFonts w:asciiTheme="majorHAnsi" w:hAnsiTheme="majorHAnsi" w:cs="Cambria"/>
          <w:b/>
          <w:bCs/>
          <w:iCs/>
          <w:lang w:val="en-IN"/>
        </w:rPr>
        <w:t xml:space="preserve">    </w:t>
      </w:r>
      <w:r w:rsidR="00915F85">
        <w:rPr>
          <w:rFonts w:asciiTheme="majorHAnsi" w:hAnsiTheme="majorHAnsi" w:cs="Cambria"/>
          <w:b/>
          <w:bCs/>
          <w:iCs/>
          <w:lang w:val="en-IN"/>
        </w:rPr>
        <w:t xml:space="preserve">October </w:t>
      </w:r>
      <w:r w:rsidR="005C66EA">
        <w:rPr>
          <w:rFonts w:asciiTheme="majorHAnsi" w:hAnsiTheme="majorHAnsi" w:cs="Cambria"/>
          <w:b/>
          <w:bCs/>
          <w:iCs/>
          <w:lang w:val="en-IN"/>
        </w:rPr>
        <w:t>0</w:t>
      </w:r>
      <w:r w:rsidR="00915F85">
        <w:rPr>
          <w:rFonts w:asciiTheme="majorHAnsi" w:hAnsiTheme="majorHAnsi" w:cs="Cambria"/>
          <w:b/>
          <w:bCs/>
          <w:iCs/>
          <w:lang w:val="en-IN"/>
        </w:rPr>
        <w:t>5</w:t>
      </w:r>
      <w:r w:rsidR="00B24FA7" w:rsidRPr="0050057C">
        <w:rPr>
          <w:rFonts w:asciiTheme="majorHAnsi" w:hAnsiTheme="majorHAnsi" w:cs="Cambria"/>
          <w:b/>
          <w:bCs/>
          <w:iCs/>
          <w:lang w:val="en-IN"/>
        </w:rPr>
        <w:t xml:space="preserve">, </w:t>
      </w:r>
      <w:r w:rsidR="00110284" w:rsidRPr="0050057C">
        <w:rPr>
          <w:rFonts w:asciiTheme="majorHAnsi" w:hAnsiTheme="majorHAnsi" w:cs="Cambria"/>
          <w:b/>
          <w:bCs/>
          <w:iCs/>
          <w:lang w:val="en-IN"/>
        </w:rPr>
        <w:t>2016</w:t>
      </w:r>
      <w:bookmarkStart w:id="0" w:name="_GoBack"/>
      <w:bookmarkEnd w:id="0"/>
    </w:p>
    <w:p w:rsidR="005C66EA" w:rsidRDefault="005C66EA" w:rsidP="00573995">
      <w:pPr>
        <w:pStyle w:val="NormalWeb"/>
        <w:spacing w:before="0" w:beforeAutospacing="0" w:after="120" w:afterAutospacing="0"/>
        <w:ind w:left="2880" w:right="180" w:firstLine="720"/>
        <w:rPr>
          <w:rFonts w:asciiTheme="majorHAnsi" w:hAnsiTheme="majorHAnsi" w:cs="Cambria"/>
          <w:b/>
          <w:bCs/>
          <w:iCs/>
          <w:lang w:val="en-IN"/>
        </w:rPr>
      </w:pPr>
    </w:p>
    <w:p w:rsidR="005C66EA" w:rsidRPr="0050057C" w:rsidRDefault="005C66EA" w:rsidP="00573995">
      <w:pPr>
        <w:pStyle w:val="NormalWeb"/>
        <w:spacing w:before="0" w:beforeAutospacing="0" w:after="120" w:afterAutospacing="0"/>
        <w:ind w:left="2880" w:right="180" w:firstLine="720"/>
        <w:rPr>
          <w:rFonts w:asciiTheme="majorHAnsi" w:hAnsiTheme="majorHAnsi" w:cs="Cambria"/>
          <w:b/>
          <w:bCs/>
          <w:iCs/>
          <w:lang w:val="en-IN"/>
        </w:rPr>
      </w:pPr>
    </w:p>
    <w:p w:rsidR="00A301A3" w:rsidRDefault="00A301A3" w:rsidP="00807BD5">
      <w:pPr>
        <w:spacing w:after="200" w:line="276" w:lineRule="auto"/>
        <w:jc w:val="both"/>
        <w:rPr>
          <w:rFonts w:ascii="Arial" w:hAnsi="Arial" w:cs="Arial"/>
          <w:i/>
          <w:sz w:val="20"/>
          <w:szCs w:val="20"/>
        </w:rPr>
      </w:pPr>
    </w:p>
    <w:p w:rsidR="00915F85" w:rsidRPr="00DB6E94" w:rsidRDefault="005C66EA" w:rsidP="005C66EA">
      <w:pPr>
        <w:spacing w:after="120"/>
        <w:jc w:val="both"/>
        <w:rPr>
          <w:rFonts w:asciiTheme="majorHAnsi" w:hAnsiTheme="majorHAnsi" w:cs="Arial"/>
          <w:b/>
          <w:sz w:val="36"/>
          <w:szCs w:val="36"/>
        </w:rPr>
      </w:pPr>
      <w:r>
        <w:rPr>
          <w:rFonts w:asciiTheme="majorHAnsi" w:hAnsiTheme="majorHAnsi" w:cs="Arial"/>
          <w:b/>
          <w:sz w:val="36"/>
          <w:szCs w:val="36"/>
        </w:rPr>
        <w:t>RBI gives Thumbs Up t</w:t>
      </w:r>
      <w:r w:rsidR="00DB6E94" w:rsidRPr="00DB6E94">
        <w:rPr>
          <w:rFonts w:asciiTheme="majorHAnsi" w:hAnsiTheme="majorHAnsi" w:cs="Arial"/>
          <w:b/>
          <w:sz w:val="36"/>
          <w:szCs w:val="36"/>
        </w:rPr>
        <w:t>o 18% GST Rate</w:t>
      </w:r>
    </w:p>
    <w:p w:rsidR="00915F85" w:rsidRDefault="00DB6E94" w:rsidP="005C66EA">
      <w:pPr>
        <w:spacing w:after="120"/>
        <w:ind w:left="2160" w:firstLine="720"/>
        <w:jc w:val="right"/>
        <w:rPr>
          <w:rFonts w:asciiTheme="minorHAnsi" w:hAnsiTheme="minorHAnsi" w:cs="Arial"/>
          <w:b/>
          <w:i/>
          <w:sz w:val="32"/>
          <w:szCs w:val="32"/>
        </w:rPr>
      </w:pPr>
      <w:r w:rsidRPr="00DB6E94">
        <w:rPr>
          <w:rFonts w:asciiTheme="minorHAnsi" w:hAnsiTheme="minorHAnsi" w:cs="Arial"/>
          <w:b/>
          <w:i/>
          <w:sz w:val="32"/>
          <w:szCs w:val="32"/>
        </w:rPr>
        <w:t xml:space="preserve">[Source : </w:t>
      </w:r>
      <w:r w:rsidR="005C66EA">
        <w:rPr>
          <w:rFonts w:asciiTheme="minorHAnsi" w:hAnsiTheme="minorHAnsi" w:cs="Arial"/>
          <w:b/>
          <w:i/>
          <w:sz w:val="32"/>
          <w:szCs w:val="32"/>
        </w:rPr>
        <w:t xml:space="preserve">The </w:t>
      </w:r>
      <w:r w:rsidRPr="00DB6E94">
        <w:rPr>
          <w:rFonts w:asciiTheme="minorHAnsi" w:hAnsiTheme="minorHAnsi" w:cs="Arial"/>
          <w:b/>
          <w:i/>
          <w:sz w:val="32"/>
          <w:szCs w:val="32"/>
        </w:rPr>
        <w:t>Economic Times]</w:t>
      </w:r>
    </w:p>
    <w:p w:rsidR="005C66EA" w:rsidRDefault="005C66EA" w:rsidP="005C66EA">
      <w:pPr>
        <w:spacing w:after="120"/>
        <w:ind w:left="2160" w:firstLine="720"/>
        <w:jc w:val="both"/>
        <w:rPr>
          <w:rFonts w:asciiTheme="minorHAnsi" w:hAnsiTheme="minorHAnsi" w:cs="Arial"/>
          <w:b/>
          <w:i/>
          <w:sz w:val="32"/>
          <w:szCs w:val="32"/>
        </w:rPr>
      </w:pPr>
    </w:p>
    <w:p w:rsidR="005C66EA" w:rsidRPr="00DB6E94" w:rsidRDefault="005C66EA" w:rsidP="005C66EA">
      <w:pPr>
        <w:spacing w:after="120"/>
        <w:ind w:left="2160" w:firstLine="720"/>
        <w:jc w:val="both"/>
        <w:rPr>
          <w:rFonts w:asciiTheme="minorHAnsi" w:hAnsiTheme="minorHAnsi" w:cs="Arial"/>
          <w:b/>
          <w:i/>
          <w:sz w:val="32"/>
          <w:szCs w:val="32"/>
        </w:rPr>
      </w:pPr>
    </w:p>
    <w:p w:rsidR="00915F85" w:rsidRPr="005C66EA" w:rsidRDefault="005C66EA" w:rsidP="005C66EA">
      <w:pPr>
        <w:spacing w:after="120"/>
        <w:outlineLvl w:val="0"/>
        <w:rPr>
          <w:rFonts w:asciiTheme="majorHAnsi" w:eastAsia="Times New Roman" w:hAnsiTheme="majorHAnsi"/>
          <w:b/>
          <w:bCs/>
          <w:color w:val="000000"/>
          <w:kern w:val="36"/>
          <w:sz w:val="36"/>
          <w:szCs w:val="36"/>
          <w:lang w:val="en-IN" w:eastAsia="en-IN"/>
        </w:rPr>
      </w:pPr>
      <w:r>
        <w:rPr>
          <w:rFonts w:asciiTheme="majorHAnsi" w:eastAsia="Times New Roman" w:hAnsiTheme="majorHAnsi"/>
          <w:b/>
          <w:bCs/>
          <w:color w:val="000000"/>
          <w:kern w:val="36"/>
          <w:sz w:val="36"/>
          <w:szCs w:val="36"/>
          <w:lang w:val="en-IN" w:eastAsia="en-IN"/>
        </w:rPr>
        <w:t>CBEC Overhaul Likely to Administer GST f</w:t>
      </w:r>
      <w:r w:rsidR="00DB6E94" w:rsidRPr="00DB6E94">
        <w:rPr>
          <w:rFonts w:asciiTheme="majorHAnsi" w:eastAsia="Times New Roman" w:hAnsiTheme="majorHAnsi"/>
          <w:b/>
          <w:bCs/>
          <w:color w:val="000000"/>
          <w:kern w:val="36"/>
          <w:sz w:val="36"/>
          <w:szCs w:val="36"/>
          <w:lang w:val="en-IN" w:eastAsia="en-IN"/>
        </w:rPr>
        <w:t>rom April 1</w:t>
      </w:r>
    </w:p>
    <w:p w:rsidR="00DB6E94" w:rsidRDefault="00DB6E94" w:rsidP="005C66EA">
      <w:pPr>
        <w:spacing w:after="120"/>
        <w:ind w:left="2160" w:firstLine="720"/>
        <w:jc w:val="right"/>
        <w:rPr>
          <w:rFonts w:asciiTheme="minorHAnsi" w:hAnsiTheme="minorHAnsi" w:cs="Arial"/>
          <w:b/>
          <w:i/>
          <w:sz w:val="32"/>
          <w:szCs w:val="32"/>
        </w:rPr>
      </w:pPr>
      <w:r w:rsidRPr="00DB6E94">
        <w:rPr>
          <w:rFonts w:asciiTheme="minorHAnsi" w:hAnsiTheme="minorHAnsi" w:cs="Arial"/>
          <w:b/>
          <w:i/>
          <w:sz w:val="32"/>
          <w:szCs w:val="32"/>
        </w:rPr>
        <w:t xml:space="preserve">[Source : </w:t>
      </w:r>
      <w:r>
        <w:rPr>
          <w:rFonts w:asciiTheme="minorHAnsi" w:hAnsiTheme="minorHAnsi" w:cs="Arial"/>
          <w:b/>
          <w:i/>
          <w:sz w:val="32"/>
          <w:szCs w:val="32"/>
        </w:rPr>
        <w:t>The Indian Express</w:t>
      </w:r>
      <w:r w:rsidRPr="00DB6E94">
        <w:rPr>
          <w:rFonts w:asciiTheme="minorHAnsi" w:hAnsiTheme="minorHAnsi" w:cs="Arial"/>
          <w:b/>
          <w:i/>
          <w:sz w:val="32"/>
          <w:szCs w:val="32"/>
        </w:rPr>
        <w:t>]</w:t>
      </w:r>
    </w:p>
    <w:p w:rsidR="005C66EA" w:rsidRPr="00DB6E94" w:rsidRDefault="005C66EA" w:rsidP="005C66EA">
      <w:pPr>
        <w:spacing w:after="120"/>
        <w:jc w:val="both"/>
        <w:rPr>
          <w:rFonts w:asciiTheme="minorHAnsi" w:hAnsiTheme="minorHAnsi" w:cs="Arial"/>
          <w:b/>
          <w:i/>
          <w:sz w:val="32"/>
          <w:szCs w:val="32"/>
        </w:rPr>
      </w:pPr>
    </w:p>
    <w:p w:rsidR="00E24120" w:rsidRPr="00E24120" w:rsidRDefault="005C66EA" w:rsidP="005C66EA">
      <w:pPr>
        <w:spacing w:after="120"/>
        <w:jc w:val="both"/>
        <w:outlineLvl w:val="0"/>
        <w:rPr>
          <w:rFonts w:asciiTheme="majorHAnsi" w:eastAsia="Times New Roman" w:hAnsiTheme="majorHAnsi" w:cs="Arial"/>
          <w:b/>
          <w:color w:val="000000"/>
          <w:kern w:val="36"/>
          <w:sz w:val="36"/>
          <w:szCs w:val="36"/>
          <w:lang w:val="en-IN" w:eastAsia="en-IN"/>
        </w:rPr>
      </w:pPr>
      <w:r>
        <w:rPr>
          <w:rFonts w:asciiTheme="majorHAnsi" w:eastAsia="Times New Roman" w:hAnsiTheme="majorHAnsi" w:cs="Arial"/>
          <w:b/>
          <w:color w:val="000000"/>
          <w:kern w:val="36"/>
          <w:sz w:val="36"/>
          <w:szCs w:val="36"/>
          <w:lang w:val="en-IN" w:eastAsia="en-IN"/>
        </w:rPr>
        <w:t>GST Regime: Tax Payers Allowed to Take Option o</w:t>
      </w:r>
      <w:r w:rsidR="00E24120">
        <w:rPr>
          <w:rFonts w:asciiTheme="majorHAnsi" w:eastAsia="Times New Roman" w:hAnsiTheme="majorHAnsi" w:cs="Arial"/>
          <w:b/>
          <w:color w:val="000000"/>
          <w:kern w:val="36"/>
          <w:sz w:val="36"/>
          <w:szCs w:val="36"/>
          <w:lang w:val="en-IN" w:eastAsia="en-IN"/>
        </w:rPr>
        <w:t>f Third-Party I</w:t>
      </w:r>
      <w:r w:rsidR="00E24120" w:rsidRPr="00E24120">
        <w:rPr>
          <w:rFonts w:asciiTheme="majorHAnsi" w:eastAsia="Times New Roman" w:hAnsiTheme="majorHAnsi" w:cs="Arial"/>
          <w:b/>
          <w:color w:val="000000"/>
          <w:kern w:val="36"/>
          <w:sz w:val="36"/>
          <w:szCs w:val="36"/>
          <w:lang w:val="en-IN" w:eastAsia="en-IN"/>
        </w:rPr>
        <w:t>nterfaces</w:t>
      </w:r>
    </w:p>
    <w:p w:rsidR="00E24120" w:rsidRPr="00DB6E94" w:rsidRDefault="00E24120" w:rsidP="005C66EA">
      <w:pPr>
        <w:spacing w:after="120"/>
        <w:ind w:left="2160" w:firstLine="720"/>
        <w:jc w:val="right"/>
        <w:rPr>
          <w:rFonts w:asciiTheme="minorHAnsi" w:hAnsiTheme="minorHAnsi" w:cs="Arial"/>
          <w:b/>
          <w:i/>
          <w:sz w:val="32"/>
          <w:szCs w:val="32"/>
        </w:rPr>
      </w:pPr>
      <w:r w:rsidRPr="00DB6E94">
        <w:rPr>
          <w:rFonts w:asciiTheme="minorHAnsi" w:hAnsiTheme="minorHAnsi" w:cs="Arial"/>
          <w:b/>
          <w:i/>
          <w:sz w:val="32"/>
          <w:szCs w:val="32"/>
        </w:rPr>
        <w:t xml:space="preserve">[Source : </w:t>
      </w:r>
      <w:r>
        <w:rPr>
          <w:rFonts w:asciiTheme="minorHAnsi" w:hAnsiTheme="minorHAnsi" w:cs="Arial"/>
          <w:b/>
          <w:i/>
          <w:sz w:val="32"/>
          <w:szCs w:val="32"/>
        </w:rPr>
        <w:t>Firstpost.com</w:t>
      </w:r>
      <w:r w:rsidRPr="00DB6E94">
        <w:rPr>
          <w:rFonts w:asciiTheme="minorHAnsi" w:hAnsiTheme="minorHAnsi" w:cs="Arial"/>
          <w:b/>
          <w:i/>
          <w:sz w:val="32"/>
          <w:szCs w:val="32"/>
        </w:rPr>
        <w:t>]</w:t>
      </w:r>
    </w:p>
    <w:p w:rsidR="00915F85" w:rsidRDefault="00915F85" w:rsidP="00807BD5">
      <w:pPr>
        <w:spacing w:after="200" w:line="276" w:lineRule="auto"/>
        <w:jc w:val="both"/>
        <w:rPr>
          <w:rFonts w:ascii="Arial" w:hAnsi="Arial" w:cs="Arial"/>
          <w:i/>
          <w:sz w:val="20"/>
          <w:szCs w:val="20"/>
        </w:rPr>
      </w:pPr>
    </w:p>
    <w:p w:rsidR="00915F85" w:rsidRDefault="00915F85" w:rsidP="00807BD5">
      <w:pPr>
        <w:spacing w:after="200" w:line="276" w:lineRule="auto"/>
        <w:jc w:val="both"/>
        <w:rPr>
          <w:rFonts w:ascii="Arial" w:hAnsi="Arial" w:cs="Arial"/>
          <w:i/>
          <w:sz w:val="20"/>
          <w:szCs w:val="20"/>
        </w:rPr>
      </w:pPr>
    </w:p>
    <w:p w:rsidR="00915F85" w:rsidRDefault="00915F85" w:rsidP="00807BD5">
      <w:pPr>
        <w:spacing w:after="200" w:line="276" w:lineRule="auto"/>
        <w:jc w:val="both"/>
        <w:rPr>
          <w:rFonts w:ascii="Arial" w:hAnsi="Arial" w:cs="Arial"/>
          <w:i/>
          <w:sz w:val="20"/>
          <w:szCs w:val="20"/>
        </w:rPr>
      </w:pPr>
    </w:p>
    <w:p w:rsidR="00915F85" w:rsidRPr="0050057C" w:rsidRDefault="00915F85" w:rsidP="00807BD5">
      <w:pPr>
        <w:spacing w:after="200" w:line="276" w:lineRule="auto"/>
        <w:jc w:val="both"/>
        <w:rPr>
          <w:rFonts w:ascii="Arial" w:hAnsi="Arial" w:cs="Arial"/>
          <w:i/>
          <w:sz w:val="20"/>
          <w:szCs w:val="20"/>
        </w:rPr>
      </w:pPr>
    </w:p>
    <w:p w:rsidR="00DB6E94" w:rsidRDefault="00DB6E94" w:rsidP="00807BD5">
      <w:pPr>
        <w:spacing w:after="200" w:line="276" w:lineRule="auto"/>
        <w:jc w:val="both"/>
        <w:rPr>
          <w:rFonts w:ascii="Arial" w:hAnsi="Arial" w:cs="Arial"/>
          <w:i/>
          <w:color w:val="1F497D" w:themeColor="text2"/>
          <w:sz w:val="20"/>
          <w:szCs w:val="20"/>
        </w:rPr>
      </w:pPr>
    </w:p>
    <w:p w:rsidR="00DB6E94" w:rsidRDefault="00DB6E94" w:rsidP="00807BD5">
      <w:pPr>
        <w:spacing w:after="200" w:line="276" w:lineRule="auto"/>
        <w:jc w:val="both"/>
        <w:rPr>
          <w:rFonts w:ascii="Arial" w:hAnsi="Arial" w:cs="Arial"/>
          <w:i/>
          <w:color w:val="1F497D" w:themeColor="text2"/>
          <w:sz w:val="20"/>
          <w:szCs w:val="20"/>
        </w:rPr>
      </w:pPr>
    </w:p>
    <w:p w:rsidR="00DB6E94" w:rsidRDefault="00DB6E94" w:rsidP="00807BD5">
      <w:pPr>
        <w:spacing w:after="200" w:line="276" w:lineRule="auto"/>
        <w:jc w:val="both"/>
        <w:rPr>
          <w:rFonts w:ascii="Arial" w:hAnsi="Arial" w:cs="Arial"/>
          <w:i/>
          <w:color w:val="1F497D" w:themeColor="text2"/>
          <w:sz w:val="20"/>
          <w:szCs w:val="20"/>
        </w:rPr>
      </w:pPr>
    </w:p>
    <w:p w:rsidR="00DB6E94" w:rsidRDefault="00DB6E94" w:rsidP="00807BD5">
      <w:pPr>
        <w:spacing w:after="200" w:line="276" w:lineRule="auto"/>
        <w:jc w:val="both"/>
        <w:rPr>
          <w:rFonts w:ascii="Arial" w:hAnsi="Arial" w:cs="Arial"/>
          <w:i/>
          <w:color w:val="1F497D" w:themeColor="text2"/>
          <w:sz w:val="20"/>
          <w:szCs w:val="20"/>
        </w:rPr>
      </w:pPr>
    </w:p>
    <w:p w:rsidR="00DB6E94" w:rsidRDefault="00DB6E94" w:rsidP="00807BD5">
      <w:pPr>
        <w:spacing w:after="200" w:line="276" w:lineRule="auto"/>
        <w:jc w:val="both"/>
        <w:rPr>
          <w:rFonts w:ascii="Arial" w:hAnsi="Arial" w:cs="Arial"/>
          <w:i/>
          <w:color w:val="1F497D" w:themeColor="text2"/>
          <w:sz w:val="20"/>
          <w:szCs w:val="20"/>
        </w:rPr>
      </w:pPr>
    </w:p>
    <w:p w:rsidR="00DB6E94" w:rsidRDefault="00DB6E94" w:rsidP="00807BD5">
      <w:pPr>
        <w:spacing w:after="200" w:line="276" w:lineRule="auto"/>
        <w:jc w:val="both"/>
        <w:rPr>
          <w:rFonts w:ascii="Arial" w:hAnsi="Arial" w:cs="Arial"/>
          <w:i/>
          <w:color w:val="1F497D" w:themeColor="text2"/>
          <w:sz w:val="20"/>
          <w:szCs w:val="20"/>
        </w:rPr>
      </w:pPr>
    </w:p>
    <w:p w:rsidR="00DB6E94" w:rsidRDefault="00DB6E94" w:rsidP="00807BD5">
      <w:pPr>
        <w:spacing w:after="200" w:line="276" w:lineRule="auto"/>
        <w:jc w:val="both"/>
        <w:rPr>
          <w:rFonts w:ascii="Arial" w:hAnsi="Arial" w:cs="Arial"/>
          <w:i/>
          <w:color w:val="1F497D" w:themeColor="text2"/>
          <w:sz w:val="20"/>
          <w:szCs w:val="20"/>
        </w:rPr>
      </w:pPr>
    </w:p>
    <w:p w:rsidR="00DB6E94" w:rsidRDefault="00DB6E94" w:rsidP="00807BD5">
      <w:pPr>
        <w:spacing w:after="200" w:line="276" w:lineRule="auto"/>
        <w:jc w:val="both"/>
        <w:rPr>
          <w:rFonts w:ascii="Arial" w:hAnsi="Arial" w:cs="Arial"/>
          <w:i/>
          <w:color w:val="1F497D" w:themeColor="text2"/>
          <w:sz w:val="20"/>
          <w:szCs w:val="20"/>
        </w:rPr>
      </w:pPr>
    </w:p>
    <w:p w:rsidR="00DB6E94" w:rsidRDefault="00DB6E94" w:rsidP="00807BD5">
      <w:pPr>
        <w:spacing w:after="200" w:line="276" w:lineRule="auto"/>
        <w:jc w:val="both"/>
        <w:rPr>
          <w:rFonts w:ascii="Arial" w:hAnsi="Arial" w:cs="Arial"/>
          <w:i/>
          <w:color w:val="1F497D" w:themeColor="text2"/>
          <w:sz w:val="20"/>
          <w:szCs w:val="20"/>
        </w:rPr>
      </w:pPr>
    </w:p>
    <w:p w:rsidR="00DB6E94" w:rsidRDefault="00DB6E94" w:rsidP="00807BD5">
      <w:pPr>
        <w:spacing w:after="200" w:line="276" w:lineRule="auto"/>
        <w:jc w:val="both"/>
        <w:rPr>
          <w:rFonts w:ascii="Arial" w:hAnsi="Arial" w:cs="Arial"/>
          <w:i/>
          <w:color w:val="1F497D" w:themeColor="text2"/>
          <w:sz w:val="20"/>
          <w:szCs w:val="20"/>
        </w:rPr>
      </w:pPr>
    </w:p>
    <w:p w:rsidR="00DB6E94" w:rsidRDefault="00DB6E94" w:rsidP="00807BD5">
      <w:pPr>
        <w:spacing w:after="200" w:line="276" w:lineRule="auto"/>
        <w:jc w:val="both"/>
        <w:rPr>
          <w:rFonts w:ascii="Arial" w:hAnsi="Arial" w:cs="Arial"/>
          <w:i/>
          <w:color w:val="1F497D" w:themeColor="text2"/>
          <w:sz w:val="20"/>
          <w:szCs w:val="20"/>
        </w:rPr>
      </w:pPr>
    </w:p>
    <w:p w:rsidR="00DB6E94" w:rsidRDefault="00DB6E94" w:rsidP="00807BD5">
      <w:pPr>
        <w:spacing w:after="200" w:line="276" w:lineRule="auto"/>
        <w:jc w:val="both"/>
        <w:rPr>
          <w:rFonts w:ascii="Arial" w:hAnsi="Arial" w:cs="Arial"/>
          <w:i/>
          <w:color w:val="1F497D" w:themeColor="text2"/>
          <w:sz w:val="20"/>
          <w:szCs w:val="20"/>
        </w:rPr>
      </w:pPr>
    </w:p>
    <w:p w:rsidR="00DB6E94" w:rsidRDefault="00DB6E94" w:rsidP="00807BD5">
      <w:pPr>
        <w:spacing w:after="200" w:line="276" w:lineRule="auto"/>
        <w:jc w:val="both"/>
        <w:rPr>
          <w:rFonts w:ascii="Arial" w:hAnsi="Arial" w:cs="Arial"/>
          <w:i/>
          <w:color w:val="1F497D" w:themeColor="text2"/>
          <w:sz w:val="20"/>
          <w:szCs w:val="20"/>
        </w:rPr>
      </w:pPr>
    </w:p>
    <w:p w:rsidR="00DB6E94" w:rsidRDefault="00DB6E94" w:rsidP="00807BD5">
      <w:pPr>
        <w:spacing w:after="200" w:line="276" w:lineRule="auto"/>
        <w:jc w:val="both"/>
        <w:rPr>
          <w:rFonts w:ascii="Arial" w:hAnsi="Arial" w:cs="Arial"/>
          <w:i/>
          <w:color w:val="1F497D" w:themeColor="text2"/>
          <w:sz w:val="20"/>
          <w:szCs w:val="20"/>
        </w:rPr>
      </w:pPr>
    </w:p>
    <w:p w:rsidR="00DB6E94" w:rsidRDefault="00DB6E94" w:rsidP="00807BD5">
      <w:pPr>
        <w:spacing w:after="200" w:line="276" w:lineRule="auto"/>
        <w:jc w:val="both"/>
        <w:rPr>
          <w:rFonts w:ascii="Arial" w:hAnsi="Arial" w:cs="Arial"/>
          <w:i/>
          <w:color w:val="1F497D" w:themeColor="text2"/>
          <w:sz w:val="20"/>
          <w:szCs w:val="20"/>
        </w:rPr>
      </w:pPr>
    </w:p>
    <w:p w:rsidR="00DB6E94" w:rsidRDefault="00DB6E94" w:rsidP="00807BD5">
      <w:pPr>
        <w:spacing w:after="200" w:line="276" w:lineRule="auto"/>
        <w:jc w:val="both"/>
        <w:rPr>
          <w:rFonts w:ascii="Arial" w:hAnsi="Arial" w:cs="Arial"/>
          <w:i/>
          <w:color w:val="1F497D" w:themeColor="text2"/>
          <w:sz w:val="20"/>
          <w:szCs w:val="20"/>
        </w:rPr>
      </w:pPr>
    </w:p>
    <w:p w:rsidR="00DB6E94" w:rsidRDefault="00DB6E94" w:rsidP="00807BD5">
      <w:pPr>
        <w:spacing w:after="200" w:line="276" w:lineRule="auto"/>
        <w:jc w:val="both"/>
        <w:rPr>
          <w:rFonts w:ascii="Arial" w:hAnsi="Arial" w:cs="Arial"/>
          <w:i/>
          <w:color w:val="1F497D" w:themeColor="text2"/>
          <w:sz w:val="20"/>
          <w:szCs w:val="20"/>
        </w:rPr>
      </w:pPr>
    </w:p>
    <w:p w:rsidR="00DB6E94" w:rsidRDefault="00DB6E94" w:rsidP="00807BD5">
      <w:pPr>
        <w:spacing w:after="200" w:line="276" w:lineRule="auto"/>
        <w:jc w:val="both"/>
        <w:rPr>
          <w:rFonts w:ascii="Arial" w:hAnsi="Arial" w:cs="Arial"/>
          <w:i/>
          <w:color w:val="1F497D" w:themeColor="text2"/>
          <w:sz w:val="20"/>
          <w:szCs w:val="20"/>
        </w:rPr>
      </w:pPr>
    </w:p>
    <w:p w:rsidR="00D508B8" w:rsidRDefault="005C66EA" w:rsidP="00D508B8">
      <w:pPr>
        <w:spacing w:line="360" w:lineRule="auto"/>
        <w:jc w:val="both"/>
        <w:outlineLvl w:val="0"/>
        <w:rPr>
          <w:rFonts w:asciiTheme="minorHAnsi" w:eastAsia="Times New Roman" w:hAnsiTheme="minorHAnsi"/>
          <w:b/>
          <w:bCs/>
          <w:kern w:val="36"/>
          <w:sz w:val="28"/>
          <w:szCs w:val="28"/>
          <w:lang w:val="en-IN" w:eastAsia="en-IN"/>
        </w:rPr>
      </w:pPr>
      <w:r>
        <w:rPr>
          <w:rFonts w:asciiTheme="minorHAnsi" w:eastAsia="Times New Roman" w:hAnsiTheme="minorHAnsi"/>
          <w:b/>
          <w:bCs/>
          <w:noProof/>
          <w:kern w:val="36"/>
          <w:sz w:val="28"/>
          <w:szCs w:val="28"/>
          <w:lang w:val="en-IN" w:eastAsia="en-IN"/>
        </w:rPr>
        <w:drawing>
          <wp:inline distT="0" distB="0" distL="0" distR="0">
            <wp:extent cx="6515100" cy="419314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515100" cy="4193146"/>
                    </a:xfrm>
                    <a:prstGeom prst="rect">
                      <a:avLst/>
                    </a:prstGeom>
                    <a:noFill/>
                    <a:ln w="9525">
                      <a:noFill/>
                      <a:miter lim="800000"/>
                      <a:headEnd/>
                      <a:tailEnd/>
                    </a:ln>
                  </pic:spPr>
                </pic:pic>
              </a:graphicData>
            </a:graphic>
          </wp:inline>
        </w:drawing>
      </w:r>
    </w:p>
    <w:p w:rsidR="005C66EA" w:rsidRDefault="005C66EA" w:rsidP="00D508B8">
      <w:pPr>
        <w:spacing w:line="360" w:lineRule="auto"/>
        <w:jc w:val="both"/>
        <w:outlineLvl w:val="0"/>
        <w:rPr>
          <w:rFonts w:asciiTheme="minorHAnsi" w:eastAsia="Times New Roman" w:hAnsiTheme="minorHAnsi"/>
          <w:b/>
          <w:bCs/>
          <w:kern w:val="36"/>
          <w:sz w:val="28"/>
          <w:szCs w:val="28"/>
          <w:lang w:val="en-IN" w:eastAsia="en-IN"/>
        </w:rPr>
      </w:pPr>
    </w:p>
    <w:p w:rsidR="005C66EA" w:rsidRDefault="005C66EA" w:rsidP="00D508B8">
      <w:pPr>
        <w:spacing w:line="360" w:lineRule="auto"/>
        <w:jc w:val="both"/>
        <w:outlineLvl w:val="0"/>
        <w:rPr>
          <w:rFonts w:asciiTheme="minorHAnsi" w:eastAsia="Times New Roman" w:hAnsiTheme="minorHAnsi"/>
          <w:b/>
          <w:bCs/>
          <w:kern w:val="36"/>
          <w:sz w:val="28"/>
          <w:szCs w:val="28"/>
          <w:lang w:val="en-IN" w:eastAsia="en-IN"/>
        </w:rPr>
      </w:pPr>
    </w:p>
    <w:p w:rsidR="005C66EA" w:rsidRDefault="005C66EA" w:rsidP="00D508B8">
      <w:pPr>
        <w:spacing w:line="360" w:lineRule="auto"/>
        <w:jc w:val="both"/>
        <w:outlineLvl w:val="0"/>
        <w:rPr>
          <w:rFonts w:asciiTheme="minorHAnsi" w:eastAsia="Times New Roman" w:hAnsiTheme="minorHAnsi"/>
          <w:b/>
          <w:bCs/>
          <w:kern w:val="36"/>
          <w:sz w:val="28"/>
          <w:szCs w:val="28"/>
          <w:lang w:val="en-IN" w:eastAsia="en-IN"/>
        </w:rPr>
      </w:pPr>
    </w:p>
    <w:p w:rsidR="005C66EA" w:rsidRDefault="005C66EA" w:rsidP="005C66EA">
      <w:pPr>
        <w:spacing w:after="120"/>
        <w:jc w:val="center"/>
        <w:outlineLvl w:val="0"/>
        <w:rPr>
          <w:rFonts w:asciiTheme="majorHAnsi" w:eastAsia="Times New Roman" w:hAnsiTheme="majorHAnsi"/>
          <w:b/>
          <w:bCs/>
          <w:color w:val="000000"/>
          <w:kern w:val="36"/>
          <w:sz w:val="36"/>
          <w:szCs w:val="36"/>
          <w:lang w:val="en-IN" w:eastAsia="en-IN"/>
        </w:rPr>
      </w:pPr>
      <w:r>
        <w:rPr>
          <w:rFonts w:asciiTheme="majorHAnsi" w:eastAsia="Times New Roman" w:hAnsiTheme="majorHAnsi"/>
          <w:b/>
          <w:bCs/>
          <w:color w:val="000000"/>
          <w:kern w:val="36"/>
          <w:sz w:val="36"/>
          <w:szCs w:val="36"/>
          <w:lang w:val="en-IN" w:eastAsia="en-IN"/>
        </w:rPr>
        <w:t>CBEC Overhaul Likely to Administer GST f</w:t>
      </w:r>
      <w:r w:rsidRPr="00DB6E94">
        <w:rPr>
          <w:rFonts w:asciiTheme="majorHAnsi" w:eastAsia="Times New Roman" w:hAnsiTheme="majorHAnsi"/>
          <w:b/>
          <w:bCs/>
          <w:color w:val="000000"/>
          <w:kern w:val="36"/>
          <w:sz w:val="36"/>
          <w:szCs w:val="36"/>
          <w:lang w:val="en-IN" w:eastAsia="en-IN"/>
        </w:rPr>
        <w:t>rom April 1</w:t>
      </w:r>
    </w:p>
    <w:p w:rsidR="005C66EA" w:rsidRPr="005C66EA" w:rsidRDefault="005C66EA" w:rsidP="005C66EA">
      <w:pPr>
        <w:spacing w:after="120"/>
        <w:jc w:val="center"/>
        <w:outlineLvl w:val="0"/>
        <w:rPr>
          <w:rFonts w:asciiTheme="majorHAnsi" w:eastAsia="Times New Roman" w:hAnsiTheme="majorHAnsi"/>
          <w:b/>
          <w:bCs/>
          <w:color w:val="000000"/>
          <w:kern w:val="36"/>
          <w:sz w:val="36"/>
          <w:szCs w:val="36"/>
          <w:lang w:val="en-IN" w:eastAsia="en-IN"/>
        </w:rPr>
      </w:pPr>
    </w:p>
    <w:p w:rsidR="00D508B8" w:rsidRPr="00D508B8" w:rsidRDefault="00D508B8" w:rsidP="00D508B8">
      <w:pPr>
        <w:pStyle w:val="Heading2"/>
        <w:shd w:val="clear" w:color="auto" w:fill="FFFFFF"/>
        <w:spacing w:before="0" w:line="360" w:lineRule="auto"/>
        <w:jc w:val="both"/>
        <w:rPr>
          <w:rFonts w:asciiTheme="minorHAnsi" w:hAnsiTheme="minorHAnsi"/>
          <w:b w:val="0"/>
          <w:bCs w:val="0"/>
          <w:color w:val="auto"/>
          <w:sz w:val="28"/>
          <w:szCs w:val="28"/>
        </w:rPr>
      </w:pPr>
      <w:r w:rsidRPr="00D508B8">
        <w:rPr>
          <w:rFonts w:asciiTheme="minorHAnsi" w:hAnsiTheme="minorHAnsi"/>
          <w:b w:val="0"/>
          <w:bCs w:val="0"/>
          <w:color w:val="auto"/>
          <w:sz w:val="28"/>
          <w:szCs w:val="28"/>
        </w:rPr>
        <w:t>A directorate general for dispute resolution has been proposed too, while specialised adjudication verticals have been suggested in seven major cities.</w:t>
      </w:r>
    </w:p>
    <w:p w:rsidR="00D508B8" w:rsidRDefault="00D508B8" w:rsidP="00D508B8">
      <w:pPr>
        <w:pStyle w:val="NormalWeb"/>
        <w:spacing w:before="0" w:beforeAutospacing="0" w:after="0" w:afterAutospacing="0" w:line="360" w:lineRule="auto"/>
        <w:jc w:val="both"/>
        <w:rPr>
          <w:rFonts w:asciiTheme="minorHAnsi" w:hAnsiTheme="minorHAnsi"/>
          <w:sz w:val="28"/>
          <w:szCs w:val="28"/>
        </w:rPr>
      </w:pPr>
    </w:p>
    <w:p w:rsidR="00D508B8" w:rsidRPr="00D508B8" w:rsidRDefault="00D508B8" w:rsidP="00D508B8">
      <w:pPr>
        <w:pStyle w:val="NormalWeb"/>
        <w:spacing w:before="0" w:beforeAutospacing="0" w:after="0" w:afterAutospacing="0" w:line="360" w:lineRule="auto"/>
        <w:jc w:val="both"/>
        <w:rPr>
          <w:rFonts w:asciiTheme="minorHAnsi" w:hAnsiTheme="minorHAnsi"/>
          <w:sz w:val="28"/>
          <w:szCs w:val="28"/>
        </w:rPr>
      </w:pPr>
      <w:r w:rsidRPr="00D508B8">
        <w:rPr>
          <w:rFonts w:asciiTheme="minorHAnsi" w:hAnsiTheme="minorHAnsi"/>
          <w:sz w:val="28"/>
          <w:szCs w:val="28"/>
        </w:rPr>
        <w:t>The government is likely to overhaul the central board of excise and customs’ (CBEC) organisational structure to administer the Central GST (CGST) and Integrated-GST (IGST) from April 1, the appointed date for rolling out the goods and service tax (GST) regime.</w:t>
      </w:r>
    </w:p>
    <w:p w:rsidR="00D508B8" w:rsidRPr="00D508B8" w:rsidRDefault="00D508B8" w:rsidP="00D508B8">
      <w:pPr>
        <w:pStyle w:val="NormalWeb"/>
        <w:spacing w:before="0" w:beforeAutospacing="0" w:after="0" w:afterAutospacing="0" w:line="360" w:lineRule="auto"/>
        <w:jc w:val="both"/>
        <w:rPr>
          <w:rFonts w:asciiTheme="minorHAnsi" w:hAnsiTheme="minorHAnsi"/>
          <w:sz w:val="28"/>
          <w:szCs w:val="28"/>
        </w:rPr>
      </w:pPr>
      <w:r w:rsidRPr="00D508B8">
        <w:rPr>
          <w:rFonts w:asciiTheme="minorHAnsi" w:hAnsiTheme="minorHAnsi"/>
          <w:sz w:val="28"/>
          <w:szCs w:val="28"/>
        </w:rPr>
        <w:t>Under the CBEC, it is proposed to create one GST commissionerate each for 15,000-20,000 assessees and Rs 5,000-crore revenue. In all, it is proposed, there would be 24 zones, 107 commissionerates, 53 audit commissionerates, 53 commissioner (appeals) and 535 GST divisions across the country.</w:t>
      </w:r>
      <w:r w:rsidRPr="00D508B8">
        <w:rPr>
          <w:rFonts w:asciiTheme="minorHAnsi" w:hAnsiTheme="minorHAnsi" w:cs="Arial"/>
          <w:sz w:val="28"/>
          <w:szCs w:val="28"/>
        </w:rPr>
        <w:t> </w:t>
      </w:r>
    </w:p>
    <w:p w:rsidR="00D508B8" w:rsidRPr="00D508B8" w:rsidRDefault="00D508B8" w:rsidP="00D508B8">
      <w:pPr>
        <w:pStyle w:val="NormalWeb"/>
        <w:spacing w:before="0" w:beforeAutospacing="0" w:after="0" w:afterAutospacing="0" w:line="360" w:lineRule="auto"/>
        <w:jc w:val="both"/>
        <w:rPr>
          <w:rFonts w:asciiTheme="minorHAnsi" w:hAnsiTheme="minorHAnsi"/>
          <w:sz w:val="28"/>
          <w:szCs w:val="28"/>
        </w:rPr>
      </w:pPr>
      <w:r w:rsidRPr="00D508B8">
        <w:rPr>
          <w:rFonts w:asciiTheme="minorHAnsi" w:hAnsiTheme="minorHAnsi"/>
          <w:sz w:val="28"/>
          <w:szCs w:val="28"/>
        </w:rPr>
        <w:t>Currently, there are separate structures for the central excise and service tax administration, with 23 excise zones and 4 service tax zones. The distinctions would cease to exist when GST comes into force next year.</w:t>
      </w:r>
    </w:p>
    <w:p w:rsidR="00D508B8" w:rsidRPr="00D508B8" w:rsidRDefault="00D508B8" w:rsidP="00D508B8">
      <w:pPr>
        <w:pStyle w:val="NormalWeb"/>
        <w:spacing w:before="0" w:beforeAutospacing="0" w:after="0" w:afterAutospacing="0" w:line="360" w:lineRule="auto"/>
        <w:jc w:val="both"/>
        <w:rPr>
          <w:rFonts w:asciiTheme="minorHAnsi" w:hAnsiTheme="minorHAnsi"/>
          <w:sz w:val="28"/>
          <w:szCs w:val="28"/>
        </w:rPr>
      </w:pPr>
      <w:r w:rsidRPr="00D508B8">
        <w:rPr>
          <w:rFonts w:asciiTheme="minorHAnsi" w:hAnsiTheme="minorHAnsi"/>
          <w:sz w:val="28"/>
          <w:szCs w:val="28"/>
        </w:rPr>
        <w:t>Even though no additional posts need to be created now, it has proposed to match the existing manpower with the future requirement. While GST Commisionerates would look after CGST and IGST work, they will also handle the exclusive central excise work as well as legacy issues.</w:t>
      </w:r>
    </w:p>
    <w:p w:rsidR="00D508B8" w:rsidRPr="00D508B8" w:rsidRDefault="00D508B8" w:rsidP="00D508B8">
      <w:pPr>
        <w:pStyle w:val="NormalWeb"/>
        <w:spacing w:before="0" w:beforeAutospacing="0" w:after="0" w:afterAutospacing="0" w:line="360" w:lineRule="auto"/>
        <w:jc w:val="both"/>
        <w:rPr>
          <w:rFonts w:asciiTheme="minorHAnsi" w:hAnsiTheme="minorHAnsi"/>
          <w:sz w:val="28"/>
          <w:szCs w:val="28"/>
        </w:rPr>
      </w:pPr>
      <w:r w:rsidRPr="00D508B8">
        <w:rPr>
          <w:rFonts w:asciiTheme="minorHAnsi" w:hAnsiTheme="minorHAnsi"/>
          <w:sz w:val="28"/>
          <w:szCs w:val="28"/>
        </w:rPr>
        <w:t>A directorate general for dispute resolution has been proposed too, while specialised adjudication verticals have been suggested in seven major cities.</w:t>
      </w:r>
    </w:p>
    <w:p w:rsidR="00DB6E94" w:rsidRDefault="00DB6E94" w:rsidP="00807BD5">
      <w:pPr>
        <w:spacing w:after="200" w:line="276" w:lineRule="auto"/>
        <w:jc w:val="both"/>
        <w:rPr>
          <w:rFonts w:ascii="Arial" w:hAnsi="Arial" w:cs="Arial"/>
          <w:i/>
          <w:color w:val="1F497D" w:themeColor="text2"/>
          <w:sz w:val="20"/>
          <w:szCs w:val="20"/>
        </w:rPr>
      </w:pPr>
    </w:p>
    <w:p w:rsidR="005C66EA" w:rsidRDefault="005C66EA" w:rsidP="00807BD5">
      <w:pPr>
        <w:spacing w:after="200" w:line="276" w:lineRule="auto"/>
        <w:jc w:val="both"/>
        <w:rPr>
          <w:rFonts w:ascii="Arial" w:hAnsi="Arial" w:cs="Arial"/>
          <w:i/>
          <w:color w:val="1F497D" w:themeColor="text2"/>
          <w:sz w:val="20"/>
          <w:szCs w:val="20"/>
        </w:rPr>
      </w:pPr>
    </w:p>
    <w:p w:rsidR="005C66EA" w:rsidRDefault="005C66EA" w:rsidP="00807BD5">
      <w:pPr>
        <w:spacing w:after="200" w:line="276" w:lineRule="auto"/>
        <w:jc w:val="both"/>
        <w:rPr>
          <w:rFonts w:ascii="Arial" w:hAnsi="Arial" w:cs="Arial"/>
          <w:i/>
          <w:color w:val="1F497D" w:themeColor="text2"/>
          <w:sz w:val="20"/>
          <w:szCs w:val="20"/>
        </w:rPr>
      </w:pPr>
    </w:p>
    <w:p w:rsidR="005C66EA" w:rsidRDefault="005C66EA" w:rsidP="005C66EA">
      <w:pPr>
        <w:spacing w:after="120"/>
        <w:jc w:val="center"/>
        <w:outlineLvl w:val="0"/>
        <w:rPr>
          <w:rFonts w:asciiTheme="majorHAnsi" w:eastAsia="Times New Roman" w:hAnsiTheme="majorHAnsi" w:cs="Arial"/>
          <w:b/>
          <w:color w:val="000000"/>
          <w:kern w:val="36"/>
          <w:sz w:val="36"/>
          <w:szCs w:val="36"/>
          <w:lang w:val="en-IN" w:eastAsia="en-IN"/>
        </w:rPr>
      </w:pPr>
      <w:r>
        <w:rPr>
          <w:rFonts w:asciiTheme="majorHAnsi" w:eastAsia="Times New Roman" w:hAnsiTheme="majorHAnsi" w:cs="Arial"/>
          <w:b/>
          <w:color w:val="000000"/>
          <w:kern w:val="36"/>
          <w:sz w:val="36"/>
          <w:szCs w:val="36"/>
          <w:lang w:val="en-IN" w:eastAsia="en-IN"/>
        </w:rPr>
        <w:t>GST Regime: Tax Payers Allowed to Take Option of Third-Party I</w:t>
      </w:r>
      <w:r w:rsidRPr="00E24120">
        <w:rPr>
          <w:rFonts w:asciiTheme="majorHAnsi" w:eastAsia="Times New Roman" w:hAnsiTheme="majorHAnsi" w:cs="Arial"/>
          <w:b/>
          <w:color w:val="000000"/>
          <w:kern w:val="36"/>
          <w:sz w:val="36"/>
          <w:szCs w:val="36"/>
          <w:lang w:val="en-IN" w:eastAsia="en-IN"/>
        </w:rPr>
        <w:t>nterfaces</w:t>
      </w:r>
    </w:p>
    <w:p w:rsidR="005C66EA" w:rsidRPr="00E24120" w:rsidRDefault="005C66EA" w:rsidP="005C66EA">
      <w:pPr>
        <w:spacing w:after="120"/>
        <w:jc w:val="center"/>
        <w:outlineLvl w:val="0"/>
        <w:rPr>
          <w:rFonts w:asciiTheme="majorHAnsi" w:eastAsia="Times New Roman" w:hAnsiTheme="majorHAnsi" w:cs="Arial"/>
          <w:b/>
          <w:color w:val="000000"/>
          <w:kern w:val="36"/>
          <w:sz w:val="36"/>
          <w:szCs w:val="36"/>
          <w:lang w:val="en-IN" w:eastAsia="en-IN"/>
        </w:rPr>
      </w:pPr>
    </w:p>
    <w:p w:rsidR="00A9411D" w:rsidRPr="00A9411D" w:rsidRDefault="00A9411D" w:rsidP="00A9411D">
      <w:pPr>
        <w:spacing w:line="360" w:lineRule="auto"/>
        <w:jc w:val="both"/>
        <w:rPr>
          <w:rFonts w:asciiTheme="minorHAnsi" w:eastAsia="Times New Roman" w:hAnsiTheme="minorHAnsi"/>
          <w:color w:val="333333"/>
          <w:sz w:val="28"/>
          <w:szCs w:val="28"/>
          <w:lang w:val="en-IN" w:eastAsia="en-IN"/>
        </w:rPr>
      </w:pPr>
      <w:r w:rsidRPr="00A9411D">
        <w:rPr>
          <w:rFonts w:asciiTheme="minorHAnsi" w:eastAsia="Times New Roman" w:hAnsiTheme="minorHAnsi"/>
          <w:b/>
          <w:bCs/>
          <w:color w:val="333333"/>
          <w:sz w:val="28"/>
          <w:szCs w:val="28"/>
          <w:lang w:val="en-IN" w:eastAsia="en-IN"/>
        </w:rPr>
        <w:t>New Delhi</w:t>
      </w:r>
      <w:r w:rsidRPr="00A9411D">
        <w:rPr>
          <w:rFonts w:asciiTheme="minorHAnsi" w:eastAsia="Times New Roman" w:hAnsiTheme="minorHAnsi"/>
          <w:color w:val="333333"/>
          <w:sz w:val="28"/>
          <w:szCs w:val="28"/>
          <w:lang w:val="en-IN" w:eastAsia="en-IN"/>
        </w:rPr>
        <w:t>: Moving a step forward towards the actual implementation of the Goods and Services Tax (GST) regime, GST Network, the company which is entrusted to create the logistical and IT backbone for the new tax regime, on Tuesday allowed taxpayers the option of third-party interfaces.</w:t>
      </w:r>
    </w:p>
    <w:p w:rsidR="00A9411D" w:rsidRPr="00A9411D" w:rsidRDefault="00A9411D" w:rsidP="00A9411D">
      <w:pPr>
        <w:spacing w:line="360" w:lineRule="auto"/>
        <w:jc w:val="both"/>
        <w:rPr>
          <w:rFonts w:asciiTheme="minorHAnsi" w:eastAsia="Times New Roman" w:hAnsiTheme="minorHAnsi"/>
          <w:color w:val="333333"/>
          <w:sz w:val="28"/>
          <w:szCs w:val="28"/>
          <w:lang w:val="en-IN" w:eastAsia="en-IN"/>
        </w:rPr>
      </w:pPr>
      <w:r w:rsidRPr="00A9411D">
        <w:rPr>
          <w:rFonts w:asciiTheme="minorHAnsi" w:eastAsia="Times New Roman" w:hAnsiTheme="minorHAnsi"/>
          <w:color w:val="333333"/>
          <w:sz w:val="28"/>
          <w:szCs w:val="28"/>
          <w:lang w:val="en-IN" w:eastAsia="en-IN"/>
        </w:rPr>
        <w:t>The step, aimed at providing ease to the taxpayers towards payment of the new indirect tax, invites banks, IT companies and financial technology companies to become GST Suvidha Providers (GSPs) to help the taxpayers from registration of entity to uploading of invoice details to filing of returns.</w:t>
      </w:r>
    </w:p>
    <w:p w:rsidR="00A9411D" w:rsidRPr="00A9411D" w:rsidRDefault="00A9411D" w:rsidP="00A9411D">
      <w:pPr>
        <w:spacing w:line="360" w:lineRule="auto"/>
        <w:jc w:val="both"/>
        <w:rPr>
          <w:rFonts w:asciiTheme="minorHAnsi" w:eastAsia="Times New Roman" w:hAnsiTheme="minorHAnsi"/>
          <w:color w:val="333333"/>
          <w:sz w:val="28"/>
          <w:szCs w:val="28"/>
          <w:lang w:val="en-IN" w:eastAsia="en-IN"/>
        </w:rPr>
      </w:pPr>
      <w:r w:rsidRPr="00A9411D">
        <w:rPr>
          <w:rFonts w:asciiTheme="minorHAnsi" w:eastAsia="Times New Roman" w:hAnsiTheme="minorHAnsi"/>
          <w:color w:val="F0F0F0"/>
          <w:sz w:val="28"/>
          <w:szCs w:val="28"/>
          <w:lang w:val="en-IN" w:eastAsia="en-IN"/>
        </w:rPr>
        <w:t>×</w:t>
      </w:r>
    </w:p>
    <w:p w:rsidR="00A9411D" w:rsidRPr="00A9411D" w:rsidRDefault="00A9411D" w:rsidP="005C66EA">
      <w:pPr>
        <w:spacing w:line="360" w:lineRule="auto"/>
        <w:jc w:val="center"/>
        <w:rPr>
          <w:rFonts w:asciiTheme="minorHAnsi" w:eastAsia="Times New Roman" w:hAnsiTheme="minorHAnsi"/>
          <w:color w:val="333333"/>
          <w:sz w:val="28"/>
          <w:szCs w:val="28"/>
          <w:lang w:val="en-IN" w:eastAsia="en-IN"/>
        </w:rPr>
      </w:pPr>
      <w:r w:rsidRPr="00A9411D">
        <w:rPr>
          <w:rFonts w:asciiTheme="minorHAnsi" w:eastAsia="Times New Roman" w:hAnsiTheme="minorHAnsi"/>
          <w:noProof/>
          <w:color w:val="3399CC"/>
          <w:sz w:val="28"/>
          <w:szCs w:val="28"/>
          <w:lang w:val="en-IN" w:eastAsia="en-IN"/>
        </w:rPr>
        <w:drawing>
          <wp:inline distT="0" distB="0" distL="0" distR="0">
            <wp:extent cx="3619500" cy="2714625"/>
            <wp:effectExtent l="19050" t="0" r="0" b="0"/>
            <wp:docPr id="19" name="Picture 19" descr="Reuter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uters">
                      <a:hlinkClick r:id="rId9"/>
                    </pic:cNvPr>
                    <pic:cNvPicPr>
                      <a:picLocks noChangeAspect="1" noChangeArrowheads="1"/>
                    </pic:cNvPicPr>
                  </pic:nvPicPr>
                  <pic:blipFill>
                    <a:blip r:embed="rId10"/>
                    <a:srcRect/>
                    <a:stretch>
                      <a:fillRect/>
                    </a:stretch>
                  </pic:blipFill>
                  <pic:spPr bwMode="auto">
                    <a:xfrm>
                      <a:off x="0" y="0"/>
                      <a:ext cx="3619500" cy="2714625"/>
                    </a:xfrm>
                    <a:prstGeom prst="rect">
                      <a:avLst/>
                    </a:prstGeom>
                    <a:noFill/>
                    <a:ln w="9525">
                      <a:noFill/>
                      <a:miter lim="800000"/>
                      <a:headEnd/>
                      <a:tailEnd/>
                    </a:ln>
                  </pic:spPr>
                </pic:pic>
              </a:graphicData>
            </a:graphic>
          </wp:inline>
        </w:drawing>
      </w:r>
    </w:p>
    <w:p w:rsidR="00A9411D" w:rsidRPr="00A9411D" w:rsidRDefault="00A9411D" w:rsidP="00A9411D">
      <w:pPr>
        <w:spacing w:line="360" w:lineRule="auto"/>
        <w:jc w:val="both"/>
        <w:rPr>
          <w:rFonts w:asciiTheme="minorHAnsi" w:eastAsia="Times New Roman" w:hAnsiTheme="minorHAnsi" w:cs="Arial"/>
          <w:color w:val="FFFFFF"/>
          <w:sz w:val="28"/>
          <w:szCs w:val="28"/>
          <w:lang w:val="en-IN" w:eastAsia="en-IN"/>
        </w:rPr>
      </w:pPr>
      <w:r w:rsidRPr="00A9411D">
        <w:rPr>
          <w:rFonts w:asciiTheme="minorHAnsi" w:eastAsia="Times New Roman" w:hAnsiTheme="minorHAnsi" w:cs="Arial"/>
          <w:color w:val="FFFFFF"/>
          <w:sz w:val="28"/>
          <w:szCs w:val="28"/>
          <w:lang w:val="en-IN" w:eastAsia="en-IN"/>
        </w:rPr>
        <w:t>Reuters</w:t>
      </w:r>
    </w:p>
    <w:p w:rsidR="00A9411D" w:rsidRPr="00A9411D" w:rsidRDefault="00A9411D" w:rsidP="00A9411D">
      <w:pPr>
        <w:spacing w:line="360" w:lineRule="auto"/>
        <w:jc w:val="both"/>
        <w:rPr>
          <w:rFonts w:asciiTheme="minorHAnsi" w:eastAsia="Times New Roman" w:hAnsiTheme="minorHAnsi"/>
          <w:color w:val="333333"/>
          <w:sz w:val="28"/>
          <w:szCs w:val="28"/>
          <w:lang w:val="en-IN" w:eastAsia="en-IN"/>
        </w:rPr>
      </w:pPr>
      <w:r w:rsidRPr="00A9411D">
        <w:rPr>
          <w:rFonts w:asciiTheme="minorHAnsi" w:eastAsia="Times New Roman" w:hAnsiTheme="minorHAnsi"/>
          <w:color w:val="333333"/>
          <w:sz w:val="28"/>
          <w:szCs w:val="28"/>
          <w:lang w:val="en-IN" w:eastAsia="en-IN"/>
        </w:rPr>
        <w:t>"GSTN, making a remarkable development, on Tuesday announced the final roadmap, process guidelines and implementation framework for IT/ITES/BFSI companies to become GSPs," the company said in a statement here.</w:t>
      </w:r>
    </w:p>
    <w:p w:rsidR="00A9411D" w:rsidRPr="00A9411D" w:rsidRDefault="00A9411D" w:rsidP="00A9411D">
      <w:pPr>
        <w:spacing w:line="360" w:lineRule="auto"/>
        <w:jc w:val="both"/>
        <w:rPr>
          <w:rFonts w:asciiTheme="minorHAnsi" w:eastAsia="Times New Roman" w:hAnsiTheme="minorHAnsi"/>
          <w:color w:val="333333"/>
          <w:sz w:val="28"/>
          <w:szCs w:val="28"/>
          <w:lang w:val="en-IN" w:eastAsia="en-IN"/>
        </w:rPr>
      </w:pPr>
      <w:r w:rsidRPr="00A9411D">
        <w:rPr>
          <w:rFonts w:asciiTheme="minorHAnsi" w:eastAsia="Times New Roman" w:hAnsiTheme="minorHAnsi"/>
          <w:color w:val="333333"/>
          <w:sz w:val="28"/>
          <w:szCs w:val="28"/>
          <w:lang w:val="en-IN" w:eastAsia="en-IN"/>
        </w:rPr>
        <w:t>It is expected that the GSPs shall provide the tax payers with all services mentioned above in addition to maintaining their individual business ledgers (sales ledger and purchase ledger) and other value added services.</w:t>
      </w:r>
    </w:p>
    <w:p w:rsidR="00A9411D" w:rsidRPr="00A9411D" w:rsidRDefault="00A9411D" w:rsidP="00A9411D">
      <w:pPr>
        <w:spacing w:line="360" w:lineRule="auto"/>
        <w:jc w:val="both"/>
        <w:rPr>
          <w:rFonts w:asciiTheme="minorHAnsi" w:eastAsia="Times New Roman" w:hAnsiTheme="minorHAnsi"/>
          <w:color w:val="333333"/>
          <w:sz w:val="28"/>
          <w:szCs w:val="28"/>
          <w:lang w:val="en-IN" w:eastAsia="en-IN"/>
        </w:rPr>
      </w:pPr>
      <w:r w:rsidRPr="00A9411D">
        <w:rPr>
          <w:rFonts w:asciiTheme="minorHAnsi" w:eastAsia="Times New Roman" w:hAnsiTheme="minorHAnsi"/>
          <w:color w:val="333333"/>
          <w:sz w:val="28"/>
          <w:szCs w:val="28"/>
          <w:lang w:val="en-IN" w:eastAsia="en-IN"/>
        </w:rPr>
        <w:t>The GST System is going to have a government-to-business portal for taxpayers to access it, however, that would not be the only way for interacting with the GST system as the taxpayer via his choice of third party applications, which will provide all user interfaces and convenience via desktop, mobile, other interfaces, will be able to interact with the GST system.</w:t>
      </w:r>
    </w:p>
    <w:p w:rsidR="00A9411D" w:rsidRPr="00A9411D" w:rsidRDefault="00A9411D" w:rsidP="00A9411D">
      <w:pPr>
        <w:spacing w:line="360" w:lineRule="auto"/>
        <w:jc w:val="both"/>
        <w:rPr>
          <w:rFonts w:asciiTheme="minorHAnsi" w:eastAsia="Times New Roman" w:hAnsiTheme="minorHAnsi"/>
          <w:color w:val="333333"/>
          <w:sz w:val="28"/>
          <w:szCs w:val="28"/>
          <w:lang w:val="en-IN" w:eastAsia="en-IN"/>
        </w:rPr>
      </w:pPr>
      <w:r w:rsidRPr="00A9411D">
        <w:rPr>
          <w:rFonts w:asciiTheme="minorHAnsi" w:eastAsia="Times New Roman" w:hAnsiTheme="minorHAnsi"/>
          <w:color w:val="333333"/>
          <w:sz w:val="28"/>
          <w:szCs w:val="28"/>
          <w:lang w:val="en-IN" w:eastAsia="en-IN"/>
        </w:rPr>
        <w:t>Thus there will be two sets of interactions, one between the app user and the GSP and the second between the GSP and the GST System. It is envisaged that app provider and GSP could be the same entity. Another version could where data in required format directly goes to GSP-GST Server.</w:t>
      </w:r>
    </w:p>
    <w:p w:rsidR="00A9411D" w:rsidRPr="00A9411D" w:rsidRDefault="00A9411D" w:rsidP="00A9411D">
      <w:pPr>
        <w:spacing w:line="360" w:lineRule="auto"/>
        <w:jc w:val="both"/>
        <w:rPr>
          <w:rFonts w:asciiTheme="minorHAnsi" w:eastAsia="Times New Roman" w:hAnsiTheme="minorHAnsi"/>
          <w:color w:val="333333"/>
          <w:sz w:val="28"/>
          <w:szCs w:val="28"/>
          <w:lang w:val="en-IN" w:eastAsia="en-IN"/>
        </w:rPr>
      </w:pPr>
      <w:r w:rsidRPr="00A9411D">
        <w:rPr>
          <w:rFonts w:asciiTheme="minorHAnsi" w:eastAsia="Times New Roman" w:hAnsiTheme="minorHAnsi"/>
          <w:color w:val="333333"/>
          <w:sz w:val="28"/>
          <w:szCs w:val="28"/>
          <w:lang w:val="en-IN" w:eastAsia="en-IN"/>
        </w:rPr>
        <w:t>"Tax payer should have a choice to use third party applications which can provide varied interfaces on desktops, laptops and mobiles and can connect with GST System," the statement said.</w:t>
      </w:r>
    </w:p>
    <w:p w:rsidR="00136358" w:rsidRPr="00E24120" w:rsidRDefault="00136358" w:rsidP="00A9411D">
      <w:pPr>
        <w:spacing w:line="360" w:lineRule="auto"/>
        <w:jc w:val="both"/>
        <w:outlineLvl w:val="0"/>
        <w:rPr>
          <w:rFonts w:asciiTheme="minorHAnsi" w:eastAsia="Times New Roman" w:hAnsiTheme="minorHAnsi" w:cs="Arial"/>
          <w:b/>
          <w:color w:val="000000"/>
          <w:kern w:val="36"/>
          <w:sz w:val="28"/>
          <w:szCs w:val="28"/>
          <w:lang w:val="en-IN" w:eastAsia="en-IN"/>
        </w:rPr>
      </w:pPr>
    </w:p>
    <w:p w:rsidR="00E24120" w:rsidRDefault="00E24120" w:rsidP="00807BD5">
      <w:pPr>
        <w:spacing w:after="200" w:line="276" w:lineRule="auto"/>
        <w:jc w:val="both"/>
        <w:rPr>
          <w:rFonts w:ascii="Arial" w:hAnsi="Arial" w:cs="Arial"/>
          <w:i/>
          <w:color w:val="1F497D" w:themeColor="text2"/>
          <w:sz w:val="20"/>
          <w:szCs w:val="20"/>
        </w:rPr>
      </w:pPr>
    </w:p>
    <w:p w:rsidR="006B2627" w:rsidRPr="007B4D08" w:rsidRDefault="008B49AA" w:rsidP="00807BD5">
      <w:pPr>
        <w:spacing w:after="200" w:line="276" w:lineRule="auto"/>
        <w:jc w:val="both"/>
        <w:rPr>
          <w:rFonts w:ascii="Arial" w:hAnsi="Arial" w:cs="Arial"/>
          <w:b/>
          <w:bCs/>
          <w:iCs/>
          <w:color w:val="1F497D" w:themeColor="text2"/>
          <w:sz w:val="20"/>
          <w:szCs w:val="20"/>
          <w:lang w:val="en-IN"/>
        </w:rPr>
      </w:pPr>
      <w:r w:rsidRPr="007B4D08">
        <w:rPr>
          <w:rFonts w:ascii="Arial" w:hAnsi="Arial" w:cs="Arial"/>
          <w:i/>
          <w:color w:val="1F497D" w:themeColor="text2"/>
          <w:sz w:val="20"/>
          <w:szCs w:val="20"/>
        </w:rPr>
        <w:t xml:space="preserve">Disclaimer : </w:t>
      </w:r>
      <w:r w:rsidR="003B67AE" w:rsidRPr="007B4D08">
        <w:rPr>
          <w:rFonts w:ascii="Arial" w:hAnsi="Arial" w:cs="Arial"/>
          <w:i/>
          <w:color w:val="1F497D" w:themeColor="text2"/>
          <w:sz w:val="20"/>
          <w:szCs w:val="20"/>
        </w:rPr>
        <w:t xml:space="preserve">The news in the GST Corner is purely according to the information available in public domain and </w:t>
      </w:r>
      <w:r w:rsidR="006257C5" w:rsidRPr="007B4D08">
        <w:rPr>
          <w:rFonts w:ascii="Arial" w:hAnsi="Arial" w:cs="Arial"/>
          <w:i/>
          <w:color w:val="1F497D" w:themeColor="text2"/>
          <w:sz w:val="20"/>
          <w:szCs w:val="20"/>
        </w:rPr>
        <w:t xml:space="preserve">does not necessarily reflect the views of </w:t>
      </w:r>
      <w:r w:rsidR="003B67AE" w:rsidRPr="007B4D08">
        <w:rPr>
          <w:rFonts w:ascii="Arial" w:hAnsi="Arial" w:cs="Arial"/>
          <w:i/>
          <w:color w:val="1F497D" w:themeColor="text2"/>
          <w:sz w:val="20"/>
          <w:szCs w:val="20"/>
        </w:rPr>
        <w:t>ICSI</w:t>
      </w:r>
      <w:r w:rsidR="00841CF2" w:rsidRPr="007B4D08">
        <w:rPr>
          <w:rFonts w:ascii="Arial" w:hAnsi="Arial" w:cs="Arial"/>
          <w:i/>
          <w:color w:val="1F497D" w:themeColor="text2"/>
          <w:sz w:val="20"/>
          <w:szCs w:val="20"/>
        </w:rPr>
        <w:t>.</w:t>
      </w:r>
      <w:r w:rsidR="003B67AE" w:rsidRPr="007B4D08">
        <w:rPr>
          <w:rFonts w:ascii="Arial" w:eastAsia="Times New Roman" w:hAnsi="Arial" w:cs="Arial"/>
          <w:i/>
          <w:iCs/>
          <w:color w:val="1F497D" w:themeColor="text2"/>
          <w:sz w:val="20"/>
          <w:szCs w:val="20"/>
        </w:rPr>
        <w:t xml:space="preserve"> Any person wishing to act on the basis of this document should do so only after cross checking with the original</w:t>
      </w:r>
      <w:r w:rsidR="00841CF2" w:rsidRPr="007B4D08">
        <w:rPr>
          <w:rFonts w:ascii="Arial" w:eastAsia="Times New Roman" w:hAnsi="Arial" w:cs="Arial"/>
          <w:i/>
          <w:iCs/>
          <w:color w:val="1F497D" w:themeColor="text2"/>
          <w:sz w:val="20"/>
          <w:szCs w:val="20"/>
        </w:rPr>
        <w:t xml:space="preserve"> </w:t>
      </w:r>
      <w:r w:rsidR="003B67AE" w:rsidRPr="007B4D08">
        <w:rPr>
          <w:rFonts w:ascii="Arial" w:eastAsia="Times New Roman" w:hAnsi="Arial" w:cs="Arial"/>
          <w:i/>
          <w:iCs/>
          <w:color w:val="1F497D" w:themeColor="text2"/>
          <w:sz w:val="20"/>
          <w:szCs w:val="20"/>
        </w:rPr>
        <w:t>source.</w:t>
      </w:r>
    </w:p>
    <w:sectPr w:rsidR="006B2627" w:rsidRPr="007B4D08"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056" w:rsidRDefault="005B3056" w:rsidP="00915541">
      <w:r>
        <w:separator/>
      </w:r>
    </w:p>
  </w:endnote>
  <w:endnote w:type="continuationSeparator" w:id="1">
    <w:p w:rsidR="005B3056" w:rsidRDefault="005B3056"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056" w:rsidRDefault="005B3056" w:rsidP="00915541">
      <w:r>
        <w:separator/>
      </w:r>
    </w:p>
  </w:footnote>
  <w:footnote w:type="continuationSeparator" w:id="1">
    <w:p w:rsidR="005B3056" w:rsidRDefault="005B3056"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A2A"/>
    <w:multiLevelType w:val="multilevel"/>
    <w:tmpl w:val="C1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D00B6"/>
    <w:multiLevelType w:val="multilevel"/>
    <w:tmpl w:val="0A30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31B76"/>
    <w:multiLevelType w:val="multilevel"/>
    <w:tmpl w:val="70A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6607A2"/>
    <w:multiLevelType w:val="multilevel"/>
    <w:tmpl w:val="0D80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1D53F7"/>
    <w:multiLevelType w:val="multilevel"/>
    <w:tmpl w:val="D770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C02B30"/>
    <w:multiLevelType w:val="multilevel"/>
    <w:tmpl w:val="0A2ED45C"/>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2"/>
  </w:num>
  <w:num w:numId="6">
    <w:abstractNumId w:val="6"/>
  </w:num>
  <w:num w:numId="7">
    <w:abstractNumId w:val="3"/>
  </w:num>
  <w:num w:numId="8">
    <w:abstractNumId w:val="5"/>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4C44"/>
    <w:rsid w:val="00014F2E"/>
    <w:rsid w:val="00017810"/>
    <w:rsid w:val="00025592"/>
    <w:rsid w:val="000275FA"/>
    <w:rsid w:val="00030E54"/>
    <w:rsid w:val="00035206"/>
    <w:rsid w:val="00036251"/>
    <w:rsid w:val="000409F1"/>
    <w:rsid w:val="00057406"/>
    <w:rsid w:val="00061B07"/>
    <w:rsid w:val="00066EC6"/>
    <w:rsid w:val="0008005D"/>
    <w:rsid w:val="00080F46"/>
    <w:rsid w:val="000819C6"/>
    <w:rsid w:val="00082403"/>
    <w:rsid w:val="0008268F"/>
    <w:rsid w:val="0008378B"/>
    <w:rsid w:val="00090F6C"/>
    <w:rsid w:val="00093417"/>
    <w:rsid w:val="00094438"/>
    <w:rsid w:val="00096235"/>
    <w:rsid w:val="000A2571"/>
    <w:rsid w:val="000A3606"/>
    <w:rsid w:val="000A6C62"/>
    <w:rsid w:val="000B049E"/>
    <w:rsid w:val="000B0BF1"/>
    <w:rsid w:val="000B5A92"/>
    <w:rsid w:val="000B626A"/>
    <w:rsid w:val="000B6398"/>
    <w:rsid w:val="000C523F"/>
    <w:rsid w:val="000C553A"/>
    <w:rsid w:val="000D3C15"/>
    <w:rsid w:val="000D4D75"/>
    <w:rsid w:val="000D5493"/>
    <w:rsid w:val="000D5750"/>
    <w:rsid w:val="000E07B6"/>
    <w:rsid w:val="000E561D"/>
    <w:rsid w:val="000E7A77"/>
    <w:rsid w:val="000F1F68"/>
    <w:rsid w:val="000F2FC9"/>
    <w:rsid w:val="000F3614"/>
    <w:rsid w:val="00103688"/>
    <w:rsid w:val="00104A4E"/>
    <w:rsid w:val="0010575E"/>
    <w:rsid w:val="00110284"/>
    <w:rsid w:val="00123389"/>
    <w:rsid w:val="0012406A"/>
    <w:rsid w:val="00126990"/>
    <w:rsid w:val="00136358"/>
    <w:rsid w:val="00136D80"/>
    <w:rsid w:val="00145BF8"/>
    <w:rsid w:val="00147B1C"/>
    <w:rsid w:val="00151C40"/>
    <w:rsid w:val="001532FD"/>
    <w:rsid w:val="00153CD0"/>
    <w:rsid w:val="00156058"/>
    <w:rsid w:val="001615EE"/>
    <w:rsid w:val="001634D0"/>
    <w:rsid w:val="001672CD"/>
    <w:rsid w:val="00176B37"/>
    <w:rsid w:val="0019248C"/>
    <w:rsid w:val="001925F4"/>
    <w:rsid w:val="00194988"/>
    <w:rsid w:val="001A1EFD"/>
    <w:rsid w:val="001A3E0B"/>
    <w:rsid w:val="001B40D5"/>
    <w:rsid w:val="001B555F"/>
    <w:rsid w:val="001C7F69"/>
    <w:rsid w:val="001D0580"/>
    <w:rsid w:val="001D07C0"/>
    <w:rsid w:val="001D5D4B"/>
    <w:rsid w:val="001F3EED"/>
    <w:rsid w:val="001F4C79"/>
    <w:rsid w:val="002014ED"/>
    <w:rsid w:val="00203D23"/>
    <w:rsid w:val="00204577"/>
    <w:rsid w:val="00213D1E"/>
    <w:rsid w:val="002154C2"/>
    <w:rsid w:val="00224BC8"/>
    <w:rsid w:val="00225C09"/>
    <w:rsid w:val="00230C39"/>
    <w:rsid w:val="00252953"/>
    <w:rsid w:val="00263DB5"/>
    <w:rsid w:val="002666B9"/>
    <w:rsid w:val="002766C3"/>
    <w:rsid w:val="0028378D"/>
    <w:rsid w:val="00283834"/>
    <w:rsid w:val="00286638"/>
    <w:rsid w:val="00292275"/>
    <w:rsid w:val="002940A0"/>
    <w:rsid w:val="002970B8"/>
    <w:rsid w:val="002A0594"/>
    <w:rsid w:val="002A6369"/>
    <w:rsid w:val="002A70A4"/>
    <w:rsid w:val="002B06B8"/>
    <w:rsid w:val="002B1D34"/>
    <w:rsid w:val="002B33B0"/>
    <w:rsid w:val="002C08F0"/>
    <w:rsid w:val="002C12E3"/>
    <w:rsid w:val="002C26C7"/>
    <w:rsid w:val="002D58F3"/>
    <w:rsid w:val="002E18E9"/>
    <w:rsid w:val="002E196B"/>
    <w:rsid w:val="002F0127"/>
    <w:rsid w:val="00303C86"/>
    <w:rsid w:val="0030779C"/>
    <w:rsid w:val="00324CD9"/>
    <w:rsid w:val="00327195"/>
    <w:rsid w:val="0033382E"/>
    <w:rsid w:val="00333972"/>
    <w:rsid w:val="003409A7"/>
    <w:rsid w:val="00340D67"/>
    <w:rsid w:val="00350B4C"/>
    <w:rsid w:val="00360C1F"/>
    <w:rsid w:val="0036541E"/>
    <w:rsid w:val="0036634D"/>
    <w:rsid w:val="0037108A"/>
    <w:rsid w:val="00371298"/>
    <w:rsid w:val="00375C4A"/>
    <w:rsid w:val="003778A1"/>
    <w:rsid w:val="00382E0C"/>
    <w:rsid w:val="00384A0A"/>
    <w:rsid w:val="00385EF3"/>
    <w:rsid w:val="00393BF0"/>
    <w:rsid w:val="0039751F"/>
    <w:rsid w:val="003A5041"/>
    <w:rsid w:val="003A7B4E"/>
    <w:rsid w:val="003A7D14"/>
    <w:rsid w:val="003B2581"/>
    <w:rsid w:val="003B3C71"/>
    <w:rsid w:val="003B5EB9"/>
    <w:rsid w:val="003B67AE"/>
    <w:rsid w:val="003B7E14"/>
    <w:rsid w:val="003C0233"/>
    <w:rsid w:val="003D3B71"/>
    <w:rsid w:val="003D664A"/>
    <w:rsid w:val="003D6E6D"/>
    <w:rsid w:val="003D75E3"/>
    <w:rsid w:val="003E5E13"/>
    <w:rsid w:val="003F51FC"/>
    <w:rsid w:val="003F5676"/>
    <w:rsid w:val="003F5922"/>
    <w:rsid w:val="0040251A"/>
    <w:rsid w:val="00404852"/>
    <w:rsid w:val="00407AFE"/>
    <w:rsid w:val="00412CB8"/>
    <w:rsid w:val="004305E6"/>
    <w:rsid w:val="00430813"/>
    <w:rsid w:val="00431AD2"/>
    <w:rsid w:val="004337FE"/>
    <w:rsid w:val="00433B4C"/>
    <w:rsid w:val="00436132"/>
    <w:rsid w:val="00441613"/>
    <w:rsid w:val="00443765"/>
    <w:rsid w:val="00444125"/>
    <w:rsid w:val="00445F79"/>
    <w:rsid w:val="0045477F"/>
    <w:rsid w:val="00454818"/>
    <w:rsid w:val="004577E5"/>
    <w:rsid w:val="00467F01"/>
    <w:rsid w:val="004735C4"/>
    <w:rsid w:val="00475973"/>
    <w:rsid w:val="00476992"/>
    <w:rsid w:val="004778E6"/>
    <w:rsid w:val="00490DF7"/>
    <w:rsid w:val="0049403A"/>
    <w:rsid w:val="004974C7"/>
    <w:rsid w:val="004A41A5"/>
    <w:rsid w:val="004A5155"/>
    <w:rsid w:val="004A63F0"/>
    <w:rsid w:val="004A6EA6"/>
    <w:rsid w:val="004B6028"/>
    <w:rsid w:val="004B71A6"/>
    <w:rsid w:val="004C18E6"/>
    <w:rsid w:val="004C1B3E"/>
    <w:rsid w:val="004C735E"/>
    <w:rsid w:val="004C7407"/>
    <w:rsid w:val="004D6D8B"/>
    <w:rsid w:val="004F5721"/>
    <w:rsid w:val="0050057C"/>
    <w:rsid w:val="00506155"/>
    <w:rsid w:val="005071E3"/>
    <w:rsid w:val="00523F16"/>
    <w:rsid w:val="005254EE"/>
    <w:rsid w:val="00526253"/>
    <w:rsid w:val="0053442A"/>
    <w:rsid w:val="00534DF3"/>
    <w:rsid w:val="005359FF"/>
    <w:rsid w:val="005362B2"/>
    <w:rsid w:val="00536CF5"/>
    <w:rsid w:val="00537D0F"/>
    <w:rsid w:val="00544FE5"/>
    <w:rsid w:val="005508A6"/>
    <w:rsid w:val="00557250"/>
    <w:rsid w:val="00560A00"/>
    <w:rsid w:val="00565B67"/>
    <w:rsid w:val="00573995"/>
    <w:rsid w:val="005757E3"/>
    <w:rsid w:val="005824C6"/>
    <w:rsid w:val="00583DFD"/>
    <w:rsid w:val="00587352"/>
    <w:rsid w:val="00591697"/>
    <w:rsid w:val="005A2A6F"/>
    <w:rsid w:val="005A429B"/>
    <w:rsid w:val="005B25B7"/>
    <w:rsid w:val="005B2D17"/>
    <w:rsid w:val="005B3056"/>
    <w:rsid w:val="005B7495"/>
    <w:rsid w:val="005C1A22"/>
    <w:rsid w:val="005C34A8"/>
    <w:rsid w:val="005C559F"/>
    <w:rsid w:val="005C66EA"/>
    <w:rsid w:val="005D257A"/>
    <w:rsid w:val="005D2F86"/>
    <w:rsid w:val="005D4DB0"/>
    <w:rsid w:val="005E045B"/>
    <w:rsid w:val="005E633F"/>
    <w:rsid w:val="005F3A51"/>
    <w:rsid w:val="005F44AA"/>
    <w:rsid w:val="005F7E4E"/>
    <w:rsid w:val="00604EE7"/>
    <w:rsid w:val="006064C6"/>
    <w:rsid w:val="00607754"/>
    <w:rsid w:val="00610497"/>
    <w:rsid w:val="00615D1D"/>
    <w:rsid w:val="00622E65"/>
    <w:rsid w:val="00623ECD"/>
    <w:rsid w:val="006257C5"/>
    <w:rsid w:val="00626855"/>
    <w:rsid w:val="00630D7A"/>
    <w:rsid w:val="006412F5"/>
    <w:rsid w:val="006418AA"/>
    <w:rsid w:val="00661A1B"/>
    <w:rsid w:val="00667ADE"/>
    <w:rsid w:val="00670145"/>
    <w:rsid w:val="00672152"/>
    <w:rsid w:val="006725AD"/>
    <w:rsid w:val="00672D7F"/>
    <w:rsid w:val="006741F0"/>
    <w:rsid w:val="006757C3"/>
    <w:rsid w:val="00686744"/>
    <w:rsid w:val="006909FD"/>
    <w:rsid w:val="006971AA"/>
    <w:rsid w:val="006A40AF"/>
    <w:rsid w:val="006A4CAF"/>
    <w:rsid w:val="006A70A4"/>
    <w:rsid w:val="006B2627"/>
    <w:rsid w:val="006B2C74"/>
    <w:rsid w:val="006B7A6F"/>
    <w:rsid w:val="006C1C23"/>
    <w:rsid w:val="006C1FC7"/>
    <w:rsid w:val="006C21D1"/>
    <w:rsid w:val="006C62E5"/>
    <w:rsid w:val="006C6CC5"/>
    <w:rsid w:val="006C781D"/>
    <w:rsid w:val="006D0EA6"/>
    <w:rsid w:val="006D0FD6"/>
    <w:rsid w:val="006D1986"/>
    <w:rsid w:val="006E209E"/>
    <w:rsid w:val="006E50B4"/>
    <w:rsid w:val="006F4482"/>
    <w:rsid w:val="006F44FF"/>
    <w:rsid w:val="0071076F"/>
    <w:rsid w:val="00715E57"/>
    <w:rsid w:val="0072518C"/>
    <w:rsid w:val="007271E4"/>
    <w:rsid w:val="00727663"/>
    <w:rsid w:val="0074050F"/>
    <w:rsid w:val="00741783"/>
    <w:rsid w:val="00741EE9"/>
    <w:rsid w:val="0074213B"/>
    <w:rsid w:val="0074213E"/>
    <w:rsid w:val="007434DE"/>
    <w:rsid w:val="00751BC9"/>
    <w:rsid w:val="00762106"/>
    <w:rsid w:val="0077133F"/>
    <w:rsid w:val="00772749"/>
    <w:rsid w:val="00773872"/>
    <w:rsid w:val="0077520A"/>
    <w:rsid w:val="00782088"/>
    <w:rsid w:val="0079027A"/>
    <w:rsid w:val="00790F09"/>
    <w:rsid w:val="00792F45"/>
    <w:rsid w:val="00793EF6"/>
    <w:rsid w:val="007A5022"/>
    <w:rsid w:val="007A6263"/>
    <w:rsid w:val="007B4D08"/>
    <w:rsid w:val="007B5C3E"/>
    <w:rsid w:val="007B6AC7"/>
    <w:rsid w:val="007C131B"/>
    <w:rsid w:val="007C41C6"/>
    <w:rsid w:val="007C617B"/>
    <w:rsid w:val="007D5682"/>
    <w:rsid w:val="007E2812"/>
    <w:rsid w:val="007F2B46"/>
    <w:rsid w:val="007F3416"/>
    <w:rsid w:val="00800025"/>
    <w:rsid w:val="00807BD5"/>
    <w:rsid w:val="00817937"/>
    <w:rsid w:val="008335D6"/>
    <w:rsid w:val="00833ADE"/>
    <w:rsid w:val="008365C6"/>
    <w:rsid w:val="00841CF2"/>
    <w:rsid w:val="00843083"/>
    <w:rsid w:val="00846653"/>
    <w:rsid w:val="008530A0"/>
    <w:rsid w:val="008546CA"/>
    <w:rsid w:val="00855071"/>
    <w:rsid w:val="00855205"/>
    <w:rsid w:val="00857C26"/>
    <w:rsid w:val="00860ADA"/>
    <w:rsid w:val="008905B2"/>
    <w:rsid w:val="0089419C"/>
    <w:rsid w:val="008941CF"/>
    <w:rsid w:val="008941F1"/>
    <w:rsid w:val="00896BD0"/>
    <w:rsid w:val="008A4E6A"/>
    <w:rsid w:val="008B361C"/>
    <w:rsid w:val="008B49AA"/>
    <w:rsid w:val="008D0F3B"/>
    <w:rsid w:val="008E3462"/>
    <w:rsid w:val="008E7919"/>
    <w:rsid w:val="008F14D0"/>
    <w:rsid w:val="008F33F8"/>
    <w:rsid w:val="009011C7"/>
    <w:rsid w:val="009017C9"/>
    <w:rsid w:val="009110DE"/>
    <w:rsid w:val="009126D0"/>
    <w:rsid w:val="00915541"/>
    <w:rsid w:val="00915F85"/>
    <w:rsid w:val="00921C55"/>
    <w:rsid w:val="00930335"/>
    <w:rsid w:val="0094073C"/>
    <w:rsid w:val="00941C19"/>
    <w:rsid w:val="00942294"/>
    <w:rsid w:val="009455B0"/>
    <w:rsid w:val="0095227A"/>
    <w:rsid w:val="00953FD2"/>
    <w:rsid w:val="009566E1"/>
    <w:rsid w:val="00961888"/>
    <w:rsid w:val="00962EA5"/>
    <w:rsid w:val="00972BF6"/>
    <w:rsid w:val="0097727F"/>
    <w:rsid w:val="009835A2"/>
    <w:rsid w:val="00984563"/>
    <w:rsid w:val="009A0933"/>
    <w:rsid w:val="009A0B17"/>
    <w:rsid w:val="009A1654"/>
    <w:rsid w:val="009A396F"/>
    <w:rsid w:val="009A4D29"/>
    <w:rsid w:val="009B509C"/>
    <w:rsid w:val="009B58FF"/>
    <w:rsid w:val="009B6ABD"/>
    <w:rsid w:val="009D3E63"/>
    <w:rsid w:val="009E0298"/>
    <w:rsid w:val="009E1F2A"/>
    <w:rsid w:val="009E3A87"/>
    <w:rsid w:val="009F1449"/>
    <w:rsid w:val="009F5061"/>
    <w:rsid w:val="00A002FA"/>
    <w:rsid w:val="00A0220F"/>
    <w:rsid w:val="00A1279F"/>
    <w:rsid w:val="00A141E8"/>
    <w:rsid w:val="00A20E10"/>
    <w:rsid w:val="00A21079"/>
    <w:rsid w:val="00A22AF3"/>
    <w:rsid w:val="00A301A3"/>
    <w:rsid w:val="00A31F7E"/>
    <w:rsid w:val="00A320A7"/>
    <w:rsid w:val="00A35E50"/>
    <w:rsid w:val="00A45031"/>
    <w:rsid w:val="00A450E2"/>
    <w:rsid w:val="00A52CD9"/>
    <w:rsid w:val="00A610D7"/>
    <w:rsid w:val="00A71B01"/>
    <w:rsid w:val="00A77EBE"/>
    <w:rsid w:val="00A823D6"/>
    <w:rsid w:val="00A85D75"/>
    <w:rsid w:val="00A86AC5"/>
    <w:rsid w:val="00A9411D"/>
    <w:rsid w:val="00AB075F"/>
    <w:rsid w:val="00AB61CC"/>
    <w:rsid w:val="00AD11F0"/>
    <w:rsid w:val="00AD32E1"/>
    <w:rsid w:val="00AF13A6"/>
    <w:rsid w:val="00AF6679"/>
    <w:rsid w:val="00AF7BE9"/>
    <w:rsid w:val="00B00541"/>
    <w:rsid w:val="00B00EC8"/>
    <w:rsid w:val="00B03BF3"/>
    <w:rsid w:val="00B04DF5"/>
    <w:rsid w:val="00B06316"/>
    <w:rsid w:val="00B1596C"/>
    <w:rsid w:val="00B20CF5"/>
    <w:rsid w:val="00B246C0"/>
    <w:rsid w:val="00B24FA7"/>
    <w:rsid w:val="00B26560"/>
    <w:rsid w:val="00B27BBE"/>
    <w:rsid w:val="00B30CC3"/>
    <w:rsid w:val="00B31750"/>
    <w:rsid w:val="00B32FBE"/>
    <w:rsid w:val="00B41752"/>
    <w:rsid w:val="00B42956"/>
    <w:rsid w:val="00B4305A"/>
    <w:rsid w:val="00B439CE"/>
    <w:rsid w:val="00B5222C"/>
    <w:rsid w:val="00B60812"/>
    <w:rsid w:val="00B62E7D"/>
    <w:rsid w:val="00B642D4"/>
    <w:rsid w:val="00B66DC8"/>
    <w:rsid w:val="00B67F4B"/>
    <w:rsid w:val="00B70107"/>
    <w:rsid w:val="00B72FC4"/>
    <w:rsid w:val="00B73653"/>
    <w:rsid w:val="00B809F0"/>
    <w:rsid w:val="00B812FE"/>
    <w:rsid w:val="00B82BAE"/>
    <w:rsid w:val="00B84829"/>
    <w:rsid w:val="00B902FD"/>
    <w:rsid w:val="00B91E74"/>
    <w:rsid w:val="00B92C76"/>
    <w:rsid w:val="00BA5066"/>
    <w:rsid w:val="00BA6501"/>
    <w:rsid w:val="00BB246B"/>
    <w:rsid w:val="00BB4C20"/>
    <w:rsid w:val="00BC3053"/>
    <w:rsid w:val="00BC3289"/>
    <w:rsid w:val="00BC4E18"/>
    <w:rsid w:val="00BD0A42"/>
    <w:rsid w:val="00BD1C5F"/>
    <w:rsid w:val="00BD411C"/>
    <w:rsid w:val="00BD44DB"/>
    <w:rsid w:val="00BD53B3"/>
    <w:rsid w:val="00BD59DB"/>
    <w:rsid w:val="00BF66E1"/>
    <w:rsid w:val="00C02F6F"/>
    <w:rsid w:val="00C1399F"/>
    <w:rsid w:val="00C14576"/>
    <w:rsid w:val="00C1777C"/>
    <w:rsid w:val="00C30E5C"/>
    <w:rsid w:val="00C31C7A"/>
    <w:rsid w:val="00C40549"/>
    <w:rsid w:val="00C42793"/>
    <w:rsid w:val="00C4793F"/>
    <w:rsid w:val="00C51637"/>
    <w:rsid w:val="00C54FBC"/>
    <w:rsid w:val="00C57701"/>
    <w:rsid w:val="00C60B86"/>
    <w:rsid w:val="00C60B90"/>
    <w:rsid w:val="00C60B95"/>
    <w:rsid w:val="00C62AC2"/>
    <w:rsid w:val="00C6324B"/>
    <w:rsid w:val="00C633C8"/>
    <w:rsid w:val="00C6545E"/>
    <w:rsid w:val="00C74BD0"/>
    <w:rsid w:val="00C75328"/>
    <w:rsid w:val="00C77F73"/>
    <w:rsid w:val="00C80C88"/>
    <w:rsid w:val="00C85172"/>
    <w:rsid w:val="00C85DBA"/>
    <w:rsid w:val="00C942D7"/>
    <w:rsid w:val="00C96335"/>
    <w:rsid w:val="00CA775C"/>
    <w:rsid w:val="00CB1607"/>
    <w:rsid w:val="00CC5054"/>
    <w:rsid w:val="00CD03FF"/>
    <w:rsid w:val="00CD23B6"/>
    <w:rsid w:val="00CE5CD5"/>
    <w:rsid w:val="00CF201A"/>
    <w:rsid w:val="00CF6FEB"/>
    <w:rsid w:val="00D02C13"/>
    <w:rsid w:val="00D1030B"/>
    <w:rsid w:val="00D221CA"/>
    <w:rsid w:val="00D26E46"/>
    <w:rsid w:val="00D33A5A"/>
    <w:rsid w:val="00D503E1"/>
    <w:rsid w:val="00D508B8"/>
    <w:rsid w:val="00D521DC"/>
    <w:rsid w:val="00D5310B"/>
    <w:rsid w:val="00D55343"/>
    <w:rsid w:val="00D57CBA"/>
    <w:rsid w:val="00D604ED"/>
    <w:rsid w:val="00D61745"/>
    <w:rsid w:val="00D63FBC"/>
    <w:rsid w:val="00D869A7"/>
    <w:rsid w:val="00D92366"/>
    <w:rsid w:val="00D94F0A"/>
    <w:rsid w:val="00D95BCD"/>
    <w:rsid w:val="00D96F4C"/>
    <w:rsid w:val="00DA0210"/>
    <w:rsid w:val="00DA6BE7"/>
    <w:rsid w:val="00DB3A9B"/>
    <w:rsid w:val="00DB6E94"/>
    <w:rsid w:val="00DB7EA0"/>
    <w:rsid w:val="00DC1041"/>
    <w:rsid w:val="00DC2776"/>
    <w:rsid w:val="00DC281D"/>
    <w:rsid w:val="00DC3088"/>
    <w:rsid w:val="00DD620A"/>
    <w:rsid w:val="00DD74A7"/>
    <w:rsid w:val="00DE7698"/>
    <w:rsid w:val="00DF0E04"/>
    <w:rsid w:val="00E23A47"/>
    <w:rsid w:val="00E24120"/>
    <w:rsid w:val="00E2685E"/>
    <w:rsid w:val="00E31257"/>
    <w:rsid w:val="00E33634"/>
    <w:rsid w:val="00E35074"/>
    <w:rsid w:val="00E37808"/>
    <w:rsid w:val="00E410EC"/>
    <w:rsid w:val="00E41571"/>
    <w:rsid w:val="00E439C5"/>
    <w:rsid w:val="00E4653A"/>
    <w:rsid w:val="00E51DDA"/>
    <w:rsid w:val="00E530BF"/>
    <w:rsid w:val="00E54407"/>
    <w:rsid w:val="00E555E6"/>
    <w:rsid w:val="00E61F87"/>
    <w:rsid w:val="00E7342E"/>
    <w:rsid w:val="00E73648"/>
    <w:rsid w:val="00E816BD"/>
    <w:rsid w:val="00E939C5"/>
    <w:rsid w:val="00EA2191"/>
    <w:rsid w:val="00EA55BE"/>
    <w:rsid w:val="00EA68DD"/>
    <w:rsid w:val="00EC5BB5"/>
    <w:rsid w:val="00EC61DE"/>
    <w:rsid w:val="00ED0110"/>
    <w:rsid w:val="00EE6870"/>
    <w:rsid w:val="00EF4542"/>
    <w:rsid w:val="00EF7785"/>
    <w:rsid w:val="00F060D4"/>
    <w:rsid w:val="00F1286C"/>
    <w:rsid w:val="00F24E45"/>
    <w:rsid w:val="00F27AAF"/>
    <w:rsid w:val="00F33B26"/>
    <w:rsid w:val="00F37993"/>
    <w:rsid w:val="00F41CD7"/>
    <w:rsid w:val="00F47CFC"/>
    <w:rsid w:val="00F5138B"/>
    <w:rsid w:val="00F51A8A"/>
    <w:rsid w:val="00F577E3"/>
    <w:rsid w:val="00F65C6A"/>
    <w:rsid w:val="00F67D82"/>
    <w:rsid w:val="00F72529"/>
    <w:rsid w:val="00F74D60"/>
    <w:rsid w:val="00F76162"/>
    <w:rsid w:val="00F81B5F"/>
    <w:rsid w:val="00FA0547"/>
    <w:rsid w:val="00FA501B"/>
    <w:rsid w:val="00FA7FBC"/>
    <w:rsid w:val="00FB12DA"/>
    <w:rsid w:val="00FB44FA"/>
    <w:rsid w:val="00FC6412"/>
    <w:rsid w:val="00FD3D4F"/>
    <w:rsid w:val="00FE46E3"/>
    <w:rsid w:val="00FE7B95"/>
    <w:rsid w:val="00FE7CCA"/>
    <w:rsid w:val="00FF78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 w:type="character" w:customStyle="1" w:styleId="ptagsheading">
    <w:name w:val="ptags_heading"/>
    <w:basedOn w:val="DefaultParagraphFont"/>
    <w:rsid w:val="0050057C"/>
  </w:style>
  <w:style w:type="paragraph" w:customStyle="1" w:styleId="wp-caption-text">
    <w:name w:val="wp-caption-text"/>
    <w:basedOn w:val="Normal"/>
    <w:rsid w:val="00A9411D"/>
    <w:pPr>
      <w:spacing w:before="100" w:beforeAutospacing="1" w:after="100" w:afterAutospacing="1"/>
    </w:pPr>
    <w:rPr>
      <w:rFonts w:eastAsia="Times New Roman"/>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08946954">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515776430">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62047422">
      <w:bodyDiv w:val="1"/>
      <w:marLeft w:val="0"/>
      <w:marRight w:val="0"/>
      <w:marTop w:val="0"/>
      <w:marBottom w:val="0"/>
      <w:divBdr>
        <w:top w:val="none" w:sz="0" w:space="0" w:color="auto"/>
        <w:left w:val="none" w:sz="0" w:space="0" w:color="auto"/>
        <w:bottom w:val="none" w:sz="0" w:space="0" w:color="auto"/>
        <w:right w:val="none" w:sz="0" w:space="0" w:color="auto"/>
      </w:divBdr>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4352746">
      <w:bodyDiv w:val="1"/>
      <w:marLeft w:val="0"/>
      <w:marRight w:val="0"/>
      <w:marTop w:val="0"/>
      <w:marBottom w:val="0"/>
      <w:divBdr>
        <w:top w:val="none" w:sz="0" w:space="0" w:color="auto"/>
        <w:left w:val="none" w:sz="0" w:space="0" w:color="auto"/>
        <w:bottom w:val="none" w:sz="0" w:space="0" w:color="auto"/>
        <w:right w:val="none" w:sz="0" w:space="0" w:color="auto"/>
      </w:divBdr>
      <w:divsChild>
        <w:div w:id="214972808">
          <w:marLeft w:val="0"/>
          <w:marRight w:val="0"/>
          <w:marTop w:val="0"/>
          <w:marBottom w:val="0"/>
          <w:divBdr>
            <w:top w:val="none" w:sz="0" w:space="0" w:color="auto"/>
            <w:left w:val="none" w:sz="0" w:space="0" w:color="auto"/>
            <w:bottom w:val="none" w:sz="0" w:space="0" w:color="auto"/>
            <w:right w:val="none" w:sz="0" w:space="0" w:color="auto"/>
          </w:divBdr>
          <w:divsChild>
            <w:div w:id="1652445460">
              <w:marLeft w:val="0"/>
              <w:marRight w:val="0"/>
              <w:marTop w:val="150"/>
              <w:marBottom w:val="300"/>
              <w:divBdr>
                <w:top w:val="none" w:sz="0" w:space="0" w:color="auto"/>
                <w:left w:val="none" w:sz="0" w:space="0" w:color="auto"/>
                <w:bottom w:val="single" w:sz="6" w:space="8" w:color="DADADA"/>
                <w:right w:val="none" w:sz="0" w:space="0" w:color="auto"/>
              </w:divBdr>
            </w:div>
          </w:divsChild>
        </w:div>
        <w:div w:id="1061562825">
          <w:marLeft w:val="0"/>
          <w:marRight w:val="0"/>
          <w:marTop w:val="0"/>
          <w:marBottom w:val="0"/>
          <w:divBdr>
            <w:top w:val="none" w:sz="0" w:space="0" w:color="auto"/>
            <w:left w:val="none" w:sz="0" w:space="0" w:color="auto"/>
            <w:bottom w:val="none" w:sz="0" w:space="0" w:color="auto"/>
            <w:right w:val="none" w:sz="0" w:space="0" w:color="auto"/>
          </w:divBdr>
          <w:divsChild>
            <w:div w:id="1293290935">
              <w:marLeft w:val="0"/>
              <w:marRight w:val="0"/>
              <w:marTop w:val="0"/>
              <w:marBottom w:val="0"/>
              <w:divBdr>
                <w:top w:val="none" w:sz="0" w:space="0" w:color="auto"/>
                <w:left w:val="none" w:sz="0" w:space="0" w:color="auto"/>
                <w:bottom w:val="none" w:sz="0" w:space="0" w:color="auto"/>
                <w:right w:val="none" w:sz="0" w:space="0" w:color="auto"/>
              </w:divBdr>
              <w:divsChild>
                <w:div w:id="1660034549">
                  <w:marLeft w:val="0"/>
                  <w:marRight w:val="0"/>
                  <w:marTop w:val="0"/>
                  <w:marBottom w:val="0"/>
                  <w:divBdr>
                    <w:top w:val="none" w:sz="0" w:space="0" w:color="auto"/>
                    <w:left w:val="none" w:sz="0" w:space="0" w:color="auto"/>
                    <w:bottom w:val="none" w:sz="0" w:space="0" w:color="auto"/>
                    <w:right w:val="none" w:sz="0" w:space="0" w:color="auto"/>
                  </w:divBdr>
                  <w:divsChild>
                    <w:div w:id="1970745436">
                      <w:marLeft w:val="0"/>
                      <w:marRight w:val="0"/>
                      <w:marTop w:val="0"/>
                      <w:marBottom w:val="225"/>
                      <w:divBdr>
                        <w:top w:val="none" w:sz="0" w:space="0" w:color="auto"/>
                        <w:left w:val="none" w:sz="0" w:space="0" w:color="auto"/>
                        <w:bottom w:val="none" w:sz="0" w:space="0" w:color="auto"/>
                        <w:right w:val="none" w:sz="0" w:space="0" w:color="auto"/>
                      </w:divBdr>
                      <w:divsChild>
                        <w:div w:id="1102188968">
                          <w:marLeft w:val="0"/>
                          <w:marRight w:val="0"/>
                          <w:marTop w:val="0"/>
                          <w:marBottom w:val="0"/>
                          <w:divBdr>
                            <w:top w:val="none" w:sz="0" w:space="0" w:color="auto"/>
                            <w:left w:val="none" w:sz="0" w:space="0" w:color="auto"/>
                            <w:bottom w:val="none" w:sz="0" w:space="0" w:color="auto"/>
                            <w:right w:val="none" w:sz="0" w:space="0" w:color="auto"/>
                          </w:divBdr>
                          <w:divsChild>
                            <w:div w:id="263270568">
                              <w:marLeft w:val="0"/>
                              <w:marRight w:val="0"/>
                              <w:marTop w:val="0"/>
                              <w:marBottom w:val="0"/>
                              <w:divBdr>
                                <w:top w:val="none" w:sz="0" w:space="0" w:color="auto"/>
                                <w:left w:val="none" w:sz="0" w:space="0" w:color="auto"/>
                                <w:bottom w:val="none" w:sz="0" w:space="0" w:color="auto"/>
                                <w:right w:val="none" w:sz="0" w:space="0" w:color="auto"/>
                              </w:divBdr>
                              <w:divsChild>
                                <w:div w:id="1206020050">
                                  <w:marLeft w:val="0"/>
                                  <w:marRight w:val="0"/>
                                  <w:marTop w:val="0"/>
                                  <w:marBottom w:val="300"/>
                                  <w:divBdr>
                                    <w:top w:val="none" w:sz="0" w:space="0" w:color="auto"/>
                                    <w:left w:val="none" w:sz="0" w:space="0" w:color="auto"/>
                                    <w:bottom w:val="none" w:sz="0" w:space="0" w:color="auto"/>
                                    <w:right w:val="none" w:sz="0" w:space="0" w:color="auto"/>
                                  </w:divBdr>
                                  <w:divsChild>
                                    <w:div w:id="285550967">
                                      <w:marLeft w:val="0"/>
                                      <w:marRight w:val="0"/>
                                      <w:marTop w:val="0"/>
                                      <w:marBottom w:val="0"/>
                                      <w:divBdr>
                                        <w:top w:val="none" w:sz="0" w:space="0" w:color="auto"/>
                                        <w:left w:val="none" w:sz="0" w:space="0" w:color="auto"/>
                                        <w:bottom w:val="none" w:sz="0" w:space="0" w:color="auto"/>
                                        <w:right w:val="none" w:sz="0" w:space="0" w:color="auto"/>
                                      </w:divBdr>
                                      <w:divsChild>
                                        <w:div w:id="1857646714">
                                          <w:marLeft w:val="0"/>
                                          <w:marRight w:val="0"/>
                                          <w:marTop w:val="0"/>
                                          <w:marBottom w:val="0"/>
                                          <w:divBdr>
                                            <w:top w:val="none" w:sz="0" w:space="0" w:color="auto"/>
                                            <w:left w:val="none" w:sz="0" w:space="0" w:color="auto"/>
                                            <w:bottom w:val="none" w:sz="0" w:space="0" w:color="auto"/>
                                            <w:right w:val="none" w:sz="0" w:space="0" w:color="auto"/>
                                          </w:divBdr>
                                          <w:divsChild>
                                            <w:div w:id="1564213494">
                                              <w:marLeft w:val="0"/>
                                              <w:marRight w:val="0"/>
                                              <w:marTop w:val="0"/>
                                              <w:marBottom w:val="0"/>
                                              <w:divBdr>
                                                <w:top w:val="none" w:sz="0" w:space="0" w:color="auto"/>
                                                <w:left w:val="none" w:sz="0" w:space="0" w:color="auto"/>
                                                <w:bottom w:val="none" w:sz="0" w:space="0" w:color="auto"/>
                                                <w:right w:val="none" w:sz="0" w:space="0" w:color="auto"/>
                                              </w:divBdr>
                                              <w:divsChild>
                                                <w:div w:id="1439832058">
                                                  <w:marLeft w:val="0"/>
                                                  <w:marRight w:val="0"/>
                                                  <w:marTop w:val="0"/>
                                                  <w:marBottom w:val="0"/>
                                                  <w:divBdr>
                                                    <w:top w:val="none" w:sz="0" w:space="0" w:color="auto"/>
                                                    <w:left w:val="none" w:sz="0" w:space="0" w:color="auto"/>
                                                    <w:bottom w:val="none" w:sz="0" w:space="0" w:color="auto"/>
                                                    <w:right w:val="none" w:sz="0" w:space="0" w:color="auto"/>
                                                  </w:divBdr>
                                                  <w:divsChild>
                                                    <w:div w:id="1644890098">
                                                      <w:marLeft w:val="0"/>
                                                      <w:marRight w:val="0"/>
                                                      <w:marTop w:val="0"/>
                                                      <w:marBottom w:val="0"/>
                                                      <w:divBdr>
                                                        <w:top w:val="none" w:sz="0" w:space="0" w:color="auto"/>
                                                        <w:left w:val="none" w:sz="0" w:space="0" w:color="auto"/>
                                                        <w:bottom w:val="none" w:sz="0" w:space="0" w:color="auto"/>
                                                        <w:right w:val="none" w:sz="0" w:space="0" w:color="auto"/>
                                                      </w:divBdr>
                                                      <w:divsChild>
                                                        <w:div w:id="656879110">
                                                          <w:marLeft w:val="0"/>
                                                          <w:marRight w:val="0"/>
                                                          <w:marTop w:val="0"/>
                                                          <w:marBottom w:val="0"/>
                                                          <w:divBdr>
                                                            <w:top w:val="none" w:sz="0" w:space="0" w:color="auto"/>
                                                            <w:left w:val="none" w:sz="0" w:space="0" w:color="auto"/>
                                                            <w:bottom w:val="none" w:sz="0" w:space="0" w:color="auto"/>
                                                            <w:right w:val="none" w:sz="0" w:space="0" w:color="auto"/>
                                                          </w:divBdr>
                                                        </w:div>
                                                        <w:div w:id="5742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53734">
                                  <w:marLeft w:val="0"/>
                                  <w:marRight w:val="0"/>
                                  <w:marTop w:val="0"/>
                                  <w:marBottom w:val="0"/>
                                  <w:divBdr>
                                    <w:top w:val="none" w:sz="0" w:space="0" w:color="auto"/>
                                    <w:left w:val="none" w:sz="0" w:space="0" w:color="auto"/>
                                    <w:bottom w:val="none" w:sz="0" w:space="0" w:color="auto"/>
                                    <w:right w:val="none" w:sz="0" w:space="0" w:color="auto"/>
                                  </w:divBdr>
                                </w:div>
                                <w:div w:id="2170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729114549">
      <w:bodyDiv w:val="1"/>
      <w:marLeft w:val="0"/>
      <w:marRight w:val="0"/>
      <w:marTop w:val="0"/>
      <w:marBottom w:val="0"/>
      <w:divBdr>
        <w:top w:val="none" w:sz="0" w:space="0" w:color="auto"/>
        <w:left w:val="none" w:sz="0" w:space="0" w:color="auto"/>
        <w:bottom w:val="none" w:sz="0" w:space="0" w:color="auto"/>
        <w:right w:val="none" w:sz="0" w:space="0" w:color="auto"/>
      </w:divBdr>
      <w:divsChild>
        <w:div w:id="538591324">
          <w:marLeft w:val="0"/>
          <w:marRight w:val="0"/>
          <w:marTop w:val="0"/>
          <w:marBottom w:val="0"/>
          <w:divBdr>
            <w:top w:val="none" w:sz="0" w:space="0" w:color="auto"/>
            <w:left w:val="none" w:sz="0" w:space="0" w:color="auto"/>
            <w:bottom w:val="none" w:sz="0" w:space="0" w:color="auto"/>
            <w:right w:val="none" w:sz="0" w:space="0" w:color="auto"/>
          </w:divBdr>
          <w:divsChild>
            <w:div w:id="852308356">
              <w:marLeft w:val="0"/>
              <w:marRight w:val="0"/>
              <w:marTop w:val="150"/>
              <w:marBottom w:val="300"/>
              <w:divBdr>
                <w:top w:val="none" w:sz="0" w:space="0" w:color="auto"/>
                <w:left w:val="none" w:sz="0" w:space="0" w:color="auto"/>
                <w:bottom w:val="single" w:sz="6" w:space="8" w:color="DADADA"/>
                <w:right w:val="none" w:sz="0" w:space="0" w:color="auto"/>
              </w:divBdr>
            </w:div>
          </w:divsChild>
        </w:div>
        <w:div w:id="470950175">
          <w:marLeft w:val="0"/>
          <w:marRight w:val="0"/>
          <w:marTop w:val="0"/>
          <w:marBottom w:val="0"/>
          <w:divBdr>
            <w:top w:val="none" w:sz="0" w:space="0" w:color="auto"/>
            <w:left w:val="none" w:sz="0" w:space="0" w:color="auto"/>
            <w:bottom w:val="none" w:sz="0" w:space="0" w:color="auto"/>
            <w:right w:val="none" w:sz="0" w:space="0" w:color="auto"/>
          </w:divBdr>
          <w:divsChild>
            <w:div w:id="232084763">
              <w:marLeft w:val="0"/>
              <w:marRight w:val="0"/>
              <w:marTop w:val="0"/>
              <w:marBottom w:val="0"/>
              <w:divBdr>
                <w:top w:val="none" w:sz="0" w:space="0" w:color="auto"/>
                <w:left w:val="none" w:sz="0" w:space="0" w:color="auto"/>
                <w:bottom w:val="none" w:sz="0" w:space="0" w:color="auto"/>
                <w:right w:val="none" w:sz="0" w:space="0" w:color="auto"/>
              </w:divBdr>
              <w:divsChild>
                <w:div w:id="399644027">
                  <w:marLeft w:val="0"/>
                  <w:marRight w:val="0"/>
                  <w:marTop w:val="0"/>
                  <w:marBottom w:val="0"/>
                  <w:divBdr>
                    <w:top w:val="none" w:sz="0" w:space="0" w:color="auto"/>
                    <w:left w:val="none" w:sz="0" w:space="0" w:color="auto"/>
                    <w:bottom w:val="none" w:sz="0" w:space="0" w:color="auto"/>
                    <w:right w:val="none" w:sz="0" w:space="0" w:color="auto"/>
                  </w:divBdr>
                  <w:divsChild>
                    <w:div w:id="756899737">
                      <w:marLeft w:val="0"/>
                      <w:marRight w:val="0"/>
                      <w:marTop w:val="0"/>
                      <w:marBottom w:val="225"/>
                      <w:divBdr>
                        <w:top w:val="none" w:sz="0" w:space="0" w:color="auto"/>
                        <w:left w:val="none" w:sz="0" w:space="0" w:color="auto"/>
                        <w:bottom w:val="none" w:sz="0" w:space="0" w:color="auto"/>
                        <w:right w:val="none" w:sz="0" w:space="0" w:color="auto"/>
                      </w:divBdr>
                      <w:divsChild>
                        <w:div w:id="934020724">
                          <w:marLeft w:val="0"/>
                          <w:marRight w:val="0"/>
                          <w:marTop w:val="0"/>
                          <w:marBottom w:val="0"/>
                          <w:divBdr>
                            <w:top w:val="none" w:sz="0" w:space="0" w:color="auto"/>
                            <w:left w:val="none" w:sz="0" w:space="0" w:color="auto"/>
                            <w:bottom w:val="none" w:sz="0" w:space="0" w:color="auto"/>
                            <w:right w:val="none" w:sz="0" w:space="0" w:color="auto"/>
                          </w:divBdr>
                          <w:divsChild>
                            <w:div w:id="16665994">
                              <w:marLeft w:val="0"/>
                              <w:marRight w:val="0"/>
                              <w:marTop w:val="0"/>
                              <w:marBottom w:val="0"/>
                              <w:divBdr>
                                <w:top w:val="none" w:sz="0" w:space="0" w:color="auto"/>
                                <w:left w:val="none" w:sz="0" w:space="0" w:color="auto"/>
                                <w:bottom w:val="none" w:sz="0" w:space="0" w:color="auto"/>
                                <w:right w:val="none" w:sz="0" w:space="0" w:color="auto"/>
                              </w:divBdr>
                              <w:divsChild>
                                <w:div w:id="503253279">
                                  <w:marLeft w:val="0"/>
                                  <w:marRight w:val="0"/>
                                  <w:marTop w:val="0"/>
                                  <w:marBottom w:val="0"/>
                                  <w:divBdr>
                                    <w:top w:val="none" w:sz="0" w:space="0" w:color="auto"/>
                                    <w:left w:val="none" w:sz="0" w:space="0" w:color="auto"/>
                                    <w:bottom w:val="none" w:sz="0" w:space="0" w:color="auto"/>
                                    <w:right w:val="none" w:sz="0" w:space="0" w:color="auto"/>
                                  </w:divBdr>
                                </w:div>
                                <w:div w:id="8563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204799">
      <w:bodyDiv w:val="1"/>
      <w:marLeft w:val="0"/>
      <w:marRight w:val="0"/>
      <w:marTop w:val="0"/>
      <w:marBottom w:val="0"/>
      <w:divBdr>
        <w:top w:val="none" w:sz="0" w:space="0" w:color="auto"/>
        <w:left w:val="none" w:sz="0" w:space="0" w:color="auto"/>
        <w:bottom w:val="none" w:sz="0" w:space="0" w:color="auto"/>
        <w:right w:val="none" w:sz="0" w:space="0" w:color="auto"/>
      </w:divBdr>
    </w:div>
    <w:div w:id="796993465">
      <w:bodyDiv w:val="1"/>
      <w:marLeft w:val="0"/>
      <w:marRight w:val="0"/>
      <w:marTop w:val="0"/>
      <w:marBottom w:val="0"/>
      <w:divBdr>
        <w:top w:val="none" w:sz="0" w:space="0" w:color="auto"/>
        <w:left w:val="none" w:sz="0" w:space="0" w:color="auto"/>
        <w:bottom w:val="none" w:sz="0" w:space="0" w:color="auto"/>
        <w:right w:val="none" w:sz="0" w:space="0" w:color="auto"/>
      </w:divBdr>
    </w:div>
    <w:div w:id="803087441">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6670295">
      <w:bodyDiv w:val="1"/>
      <w:marLeft w:val="0"/>
      <w:marRight w:val="0"/>
      <w:marTop w:val="0"/>
      <w:marBottom w:val="0"/>
      <w:divBdr>
        <w:top w:val="none" w:sz="0" w:space="0" w:color="auto"/>
        <w:left w:val="none" w:sz="0" w:space="0" w:color="auto"/>
        <w:bottom w:val="none" w:sz="0" w:space="0" w:color="auto"/>
        <w:right w:val="none" w:sz="0" w:space="0" w:color="auto"/>
      </w:divBdr>
      <w:divsChild>
        <w:div w:id="114955949">
          <w:marLeft w:val="0"/>
          <w:marRight w:val="0"/>
          <w:marTop w:val="0"/>
          <w:marBottom w:val="0"/>
          <w:divBdr>
            <w:top w:val="none" w:sz="0" w:space="0" w:color="auto"/>
            <w:left w:val="none" w:sz="0" w:space="0" w:color="auto"/>
            <w:bottom w:val="none" w:sz="0" w:space="0" w:color="auto"/>
            <w:right w:val="none" w:sz="0" w:space="0" w:color="auto"/>
          </w:divBdr>
          <w:divsChild>
            <w:div w:id="1015578407">
              <w:marLeft w:val="0"/>
              <w:marRight w:val="0"/>
              <w:marTop w:val="0"/>
              <w:marBottom w:val="0"/>
              <w:divBdr>
                <w:top w:val="none" w:sz="0" w:space="0" w:color="auto"/>
                <w:left w:val="none" w:sz="0" w:space="0" w:color="auto"/>
                <w:bottom w:val="none" w:sz="0" w:space="0" w:color="auto"/>
                <w:right w:val="none" w:sz="0" w:space="0" w:color="auto"/>
              </w:divBdr>
            </w:div>
            <w:div w:id="948244871">
              <w:marLeft w:val="0"/>
              <w:marRight w:val="0"/>
              <w:marTop w:val="150"/>
              <w:marBottom w:val="0"/>
              <w:divBdr>
                <w:top w:val="single" w:sz="6" w:space="11" w:color="D7D7D7"/>
                <w:left w:val="none" w:sz="0" w:space="0" w:color="auto"/>
                <w:bottom w:val="none" w:sz="0" w:space="0" w:color="auto"/>
                <w:right w:val="none" w:sz="0" w:space="0" w:color="auto"/>
              </w:divBdr>
              <w:divsChild>
                <w:div w:id="1864005702">
                  <w:marLeft w:val="0"/>
                  <w:marRight w:val="0"/>
                  <w:marTop w:val="0"/>
                  <w:marBottom w:val="0"/>
                  <w:divBdr>
                    <w:top w:val="none" w:sz="0" w:space="0" w:color="auto"/>
                    <w:left w:val="none" w:sz="0" w:space="0" w:color="auto"/>
                    <w:bottom w:val="none" w:sz="0" w:space="0" w:color="auto"/>
                    <w:right w:val="none" w:sz="0" w:space="0" w:color="auto"/>
                  </w:divBdr>
                  <w:divsChild>
                    <w:div w:id="892741316">
                      <w:marLeft w:val="0"/>
                      <w:marRight w:val="0"/>
                      <w:marTop w:val="0"/>
                      <w:marBottom w:val="0"/>
                      <w:divBdr>
                        <w:top w:val="none" w:sz="0" w:space="0" w:color="auto"/>
                        <w:left w:val="none" w:sz="0" w:space="0" w:color="auto"/>
                        <w:bottom w:val="none" w:sz="0" w:space="0" w:color="auto"/>
                        <w:right w:val="none" w:sz="0" w:space="0" w:color="auto"/>
                      </w:divBdr>
                    </w:div>
                    <w:div w:id="58332795">
                      <w:marLeft w:val="0"/>
                      <w:marRight w:val="0"/>
                      <w:marTop w:val="0"/>
                      <w:marBottom w:val="0"/>
                      <w:divBdr>
                        <w:top w:val="none" w:sz="0" w:space="0" w:color="auto"/>
                        <w:left w:val="none" w:sz="0" w:space="0" w:color="auto"/>
                        <w:bottom w:val="none" w:sz="0" w:space="0" w:color="auto"/>
                        <w:right w:val="none" w:sz="0" w:space="0" w:color="auto"/>
                      </w:divBdr>
                      <w:divsChild>
                        <w:div w:id="821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044">
          <w:marLeft w:val="0"/>
          <w:marRight w:val="0"/>
          <w:marTop w:val="225"/>
          <w:marBottom w:val="225"/>
          <w:divBdr>
            <w:top w:val="none" w:sz="0" w:space="0" w:color="auto"/>
            <w:left w:val="none" w:sz="0" w:space="0" w:color="auto"/>
            <w:bottom w:val="none" w:sz="0" w:space="0" w:color="auto"/>
            <w:right w:val="none" w:sz="0" w:space="0" w:color="auto"/>
          </w:divBdr>
          <w:divsChild>
            <w:div w:id="1944802028">
              <w:marLeft w:val="0"/>
              <w:marRight w:val="0"/>
              <w:marTop w:val="0"/>
              <w:marBottom w:val="0"/>
              <w:divBdr>
                <w:top w:val="none" w:sz="0" w:space="0" w:color="auto"/>
                <w:left w:val="none" w:sz="0" w:space="0" w:color="auto"/>
                <w:bottom w:val="none" w:sz="0" w:space="0" w:color="auto"/>
                <w:right w:val="none" w:sz="0" w:space="0" w:color="auto"/>
              </w:divBdr>
            </w:div>
          </w:divsChild>
        </w:div>
        <w:div w:id="2032947424">
          <w:marLeft w:val="0"/>
          <w:marRight w:val="0"/>
          <w:marTop w:val="0"/>
          <w:marBottom w:val="0"/>
          <w:divBdr>
            <w:top w:val="none" w:sz="0" w:space="0" w:color="auto"/>
            <w:left w:val="none" w:sz="0" w:space="0" w:color="auto"/>
            <w:bottom w:val="none" w:sz="0" w:space="0" w:color="auto"/>
            <w:right w:val="none" w:sz="0" w:space="0" w:color="auto"/>
          </w:divBdr>
          <w:divsChild>
            <w:div w:id="1044865171">
              <w:marLeft w:val="0"/>
              <w:marRight w:val="300"/>
              <w:marTop w:val="0"/>
              <w:marBottom w:val="300"/>
              <w:divBdr>
                <w:top w:val="none" w:sz="0" w:space="0" w:color="auto"/>
                <w:left w:val="none" w:sz="0" w:space="0" w:color="auto"/>
                <w:bottom w:val="none" w:sz="0" w:space="0" w:color="auto"/>
                <w:right w:val="none" w:sz="0" w:space="0" w:color="auto"/>
              </w:divBdr>
              <w:divsChild>
                <w:div w:id="1920359318">
                  <w:marLeft w:val="0"/>
                  <w:marRight w:val="0"/>
                  <w:marTop w:val="0"/>
                  <w:marBottom w:val="0"/>
                  <w:divBdr>
                    <w:top w:val="none" w:sz="0" w:space="0" w:color="auto"/>
                    <w:left w:val="none" w:sz="0" w:space="0" w:color="auto"/>
                    <w:bottom w:val="none" w:sz="0" w:space="0" w:color="auto"/>
                    <w:right w:val="none" w:sz="0" w:space="0" w:color="auto"/>
                  </w:divBdr>
                  <w:divsChild>
                    <w:div w:id="11920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6934196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6862111">
      <w:bodyDiv w:val="1"/>
      <w:marLeft w:val="0"/>
      <w:marRight w:val="0"/>
      <w:marTop w:val="0"/>
      <w:marBottom w:val="0"/>
      <w:divBdr>
        <w:top w:val="none" w:sz="0" w:space="0" w:color="auto"/>
        <w:left w:val="none" w:sz="0" w:space="0" w:color="auto"/>
        <w:bottom w:val="none" w:sz="0" w:space="0" w:color="auto"/>
        <w:right w:val="none" w:sz="0" w:space="0" w:color="auto"/>
      </w:divBdr>
      <w:divsChild>
        <w:div w:id="1111818649">
          <w:marLeft w:val="0"/>
          <w:marRight w:val="0"/>
          <w:marTop w:val="75"/>
          <w:marBottom w:val="75"/>
          <w:divBdr>
            <w:top w:val="none" w:sz="0" w:space="0" w:color="auto"/>
            <w:left w:val="none" w:sz="0" w:space="0" w:color="auto"/>
            <w:bottom w:val="single" w:sz="6" w:space="2" w:color="CCCCCC"/>
            <w:right w:val="none" w:sz="0" w:space="0" w:color="auto"/>
          </w:divBdr>
          <w:divsChild>
            <w:div w:id="281695953">
              <w:marLeft w:val="0"/>
              <w:marRight w:val="0"/>
              <w:marTop w:val="0"/>
              <w:marBottom w:val="75"/>
              <w:divBdr>
                <w:top w:val="none" w:sz="0" w:space="0" w:color="auto"/>
                <w:left w:val="none" w:sz="0" w:space="0" w:color="auto"/>
                <w:bottom w:val="none" w:sz="0" w:space="0" w:color="auto"/>
                <w:right w:val="none" w:sz="0" w:space="0" w:color="auto"/>
              </w:divBdr>
            </w:div>
          </w:divsChild>
        </w:div>
        <w:div w:id="2054771083">
          <w:marLeft w:val="0"/>
          <w:marRight w:val="0"/>
          <w:marTop w:val="0"/>
          <w:marBottom w:val="30"/>
          <w:divBdr>
            <w:top w:val="none" w:sz="0" w:space="0" w:color="auto"/>
            <w:left w:val="none" w:sz="0" w:space="0" w:color="auto"/>
            <w:bottom w:val="none" w:sz="0" w:space="0" w:color="auto"/>
            <w:right w:val="none" w:sz="0" w:space="0" w:color="auto"/>
          </w:divBdr>
          <w:divsChild>
            <w:div w:id="1245840969">
              <w:marLeft w:val="0"/>
              <w:marRight w:val="225"/>
              <w:marTop w:val="0"/>
              <w:marBottom w:val="0"/>
              <w:divBdr>
                <w:top w:val="none" w:sz="0" w:space="0" w:color="auto"/>
                <w:left w:val="none" w:sz="0" w:space="0" w:color="auto"/>
                <w:bottom w:val="none" w:sz="0" w:space="0" w:color="auto"/>
                <w:right w:val="none" w:sz="0" w:space="0" w:color="auto"/>
              </w:divBdr>
            </w:div>
            <w:div w:id="458646603">
              <w:marLeft w:val="0"/>
              <w:marRight w:val="225"/>
              <w:marTop w:val="0"/>
              <w:marBottom w:val="0"/>
              <w:divBdr>
                <w:top w:val="none" w:sz="0" w:space="0" w:color="auto"/>
                <w:left w:val="none" w:sz="0" w:space="0" w:color="auto"/>
                <w:bottom w:val="none" w:sz="0" w:space="0" w:color="auto"/>
                <w:right w:val="none" w:sz="0" w:space="0" w:color="auto"/>
              </w:divBdr>
            </w:div>
            <w:div w:id="683239985">
              <w:marLeft w:val="0"/>
              <w:marRight w:val="225"/>
              <w:marTop w:val="0"/>
              <w:marBottom w:val="0"/>
              <w:divBdr>
                <w:top w:val="none" w:sz="0" w:space="0" w:color="auto"/>
                <w:left w:val="none" w:sz="0" w:space="0" w:color="auto"/>
                <w:bottom w:val="none" w:sz="0" w:space="0" w:color="auto"/>
                <w:right w:val="none" w:sz="0" w:space="0" w:color="auto"/>
              </w:divBdr>
            </w:div>
          </w:divsChild>
        </w:div>
        <w:div w:id="67458649">
          <w:marLeft w:val="0"/>
          <w:marRight w:val="0"/>
          <w:marTop w:val="0"/>
          <w:marBottom w:val="75"/>
          <w:divBdr>
            <w:top w:val="none" w:sz="0" w:space="0" w:color="auto"/>
            <w:left w:val="none" w:sz="0" w:space="0" w:color="auto"/>
            <w:bottom w:val="none" w:sz="0" w:space="0" w:color="auto"/>
            <w:right w:val="none" w:sz="0" w:space="0" w:color="auto"/>
          </w:divBdr>
          <w:divsChild>
            <w:div w:id="2020110451">
              <w:marLeft w:val="0"/>
              <w:marRight w:val="0"/>
              <w:marTop w:val="0"/>
              <w:marBottom w:val="0"/>
              <w:divBdr>
                <w:top w:val="none" w:sz="0" w:space="0" w:color="auto"/>
                <w:left w:val="none" w:sz="0" w:space="0" w:color="auto"/>
                <w:bottom w:val="none" w:sz="0" w:space="0" w:color="auto"/>
                <w:right w:val="none" w:sz="0" w:space="0" w:color="auto"/>
              </w:divBdr>
              <w:divsChild>
                <w:div w:id="1898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08957720">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29799900">
      <w:bodyDiv w:val="1"/>
      <w:marLeft w:val="0"/>
      <w:marRight w:val="0"/>
      <w:marTop w:val="0"/>
      <w:marBottom w:val="0"/>
      <w:divBdr>
        <w:top w:val="none" w:sz="0" w:space="0" w:color="auto"/>
        <w:left w:val="none" w:sz="0" w:space="0" w:color="auto"/>
        <w:bottom w:val="none" w:sz="0" w:space="0" w:color="auto"/>
        <w:right w:val="none" w:sz="0" w:space="0" w:color="auto"/>
      </w:divBdr>
      <w:divsChild>
        <w:div w:id="338853819">
          <w:marLeft w:val="0"/>
          <w:marRight w:val="0"/>
          <w:marTop w:val="0"/>
          <w:marBottom w:val="0"/>
          <w:divBdr>
            <w:top w:val="none" w:sz="0" w:space="0" w:color="auto"/>
            <w:left w:val="none" w:sz="0" w:space="0" w:color="auto"/>
            <w:bottom w:val="none" w:sz="0" w:space="0" w:color="auto"/>
            <w:right w:val="none" w:sz="0" w:space="0" w:color="auto"/>
          </w:divBdr>
          <w:divsChild>
            <w:div w:id="385841748">
              <w:marLeft w:val="0"/>
              <w:marRight w:val="0"/>
              <w:marTop w:val="150"/>
              <w:marBottom w:val="300"/>
              <w:divBdr>
                <w:top w:val="none" w:sz="0" w:space="0" w:color="auto"/>
                <w:left w:val="none" w:sz="0" w:space="0" w:color="auto"/>
                <w:bottom w:val="single" w:sz="6" w:space="8" w:color="DADADA"/>
                <w:right w:val="none" w:sz="0" w:space="0" w:color="auto"/>
              </w:divBdr>
            </w:div>
          </w:divsChild>
        </w:div>
        <w:div w:id="503515278">
          <w:marLeft w:val="0"/>
          <w:marRight w:val="0"/>
          <w:marTop w:val="0"/>
          <w:marBottom w:val="0"/>
          <w:divBdr>
            <w:top w:val="none" w:sz="0" w:space="0" w:color="auto"/>
            <w:left w:val="none" w:sz="0" w:space="0" w:color="auto"/>
            <w:bottom w:val="none" w:sz="0" w:space="0" w:color="auto"/>
            <w:right w:val="none" w:sz="0" w:space="0" w:color="auto"/>
          </w:divBdr>
          <w:divsChild>
            <w:div w:id="85807788">
              <w:marLeft w:val="0"/>
              <w:marRight w:val="0"/>
              <w:marTop w:val="0"/>
              <w:marBottom w:val="0"/>
              <w:divBdr>
                <w:top w:val="none" w:sz="0" w:space="0" w:color="auto"/>
                <w:left w:val="none" w:sz="0" w:space="0" w:color="auto"/>
                <w:bottom w:val="none" w:sz="0" w:space="0" w:color="auto"/>
                <w:right w:val="none" w:sz="0" w:space="0" w:color="auto"/>
              </w:divBdr>
              <w:divsChild>
                <w:div w:id="1072198067">
                  <w:marLeft w:val="0"/>
                  <w:marRight w:val="0"/>
                  <w:marTop w:val="0"/>
                  <w:marBottom w:val="0"/>
                  <w:divBdr>
                    <w:top w:val="none" w:sz="0" w:space="0" w:color="auto"/>
                    <w:left w:val="none" w:sz="0" w:space="0" w:color="auto"/>
                    <w:bottom w:val="none" w:sz="0" w:space="0" w:color="auto"/>
                    <w:right w:val="none" w:sz="0" w:space="0" w:color="auto"/>
                  </w:divBdr>
                  <w:divsChild>
                    <w:div w:id="1815415140">
                      <w:marLeft w:val="0"/>
                      <w:marRight w:val="0"/>
                      <w:marTop w:val="0"/>
                      <w:marBottom w:val="225"/>
                      <w:divBdr>
                        <w:top w:val="none" w:sz="0" w:space="0" w:color="auto"/>
                        <w:left w:val="none" w:sz="0" w:space="0" w:color="auto"/>
                        <w:bottom w:val="none" w:sz="0" w:space="0" w:color="auto"/>
                        <w:right w:val="none" w:sz="0" w:space="0" w:color="auto"/>
                      </w:divBdr>
                      <w:divsChild>
                        <w:div w:id="1112016045">
                          <w:marLeft w:val="0"/>
                          <w:marRight w:val="0"/>
                          <w:marTop w:val="0"/>
                          <w:marBottom w:val="0"/>
                          <w:divBdr>
                            <w:top w:val="none" w:sz="0" w:space="0" w:color="auto"/>
                            <w:left w:val="none" w:sz="0" w:space="0" w:color="auto"/>
                            <w:bottom w:val="none" w:sz="0" w:space="0" w:color="auto"/>
                            <w:right w:val="none" w:sz="0" w:space="0" w:color="auto"/>
                          </w:divBdr>
                          <w:divsChild>
                            <w:div w:id="2031105056">
                              <w:marLeft w:val="0"/>
                              <w:marRight w:val="0"/>
                              <w:marTop w:val="0"/>
                              <w:marBottom w:val="0"/>
                              <w:divBdr>
                                <w:top w:val="none" w:sz="0" w:space="0" w:color="auto"/>
                                <w:left w:val="none" w:sz="0" w:space="0" w:color="auto"/>
                                <w:bottom w:val="none" w:sz="0" w:space="0" w:color="auto"/>
                                <w:right w:val="none" w:sz="0" w:space="0" w:color="auto"/>
                              </w:divBdr>
                              <w:divsChild>
                                <w:div w:id="1220050036">
                                  <w:marLeft w:val="0"/>
                                  <w:marRight w:val="0"/>
                                  <w:marTop w:val="0"/>
                                  <w:marBottom w:val="0"/>
                                  <w:divBdr>
                                    <w:top w:val="none" w:sz="0" w:space="0" w:color="auto"/>
                                    <w:left w:val="none" w:sz="0" w:space="0" w:color="auto"/>
                                    <w:bottom w:val="none" w:sz="0" w:space="0" w:color="auto"/>
                                    <w:right w:val="none" w:sz="0" w:space="0" w:color="auto"/>
                                  </w:divBdr>
                                </w:div>
                                <w:div w:id="2659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18728129">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40417288">
      <w:bodyDiv w:val="1"/>
      <w:marLeft w:val="0"/>
      <w:marRight w:val="0"/>
      <w:marTop w:val="0"/>
      <w:marBottom w:val="0"/>
      <w:divBdr>
        <w:top w:val="none" w:sz="0" w:space="0" w:color="auto"/>
        <w:left w:val="none" w:sz="0" w:space="0" w:color="auto"/>
        <w:bottom w:val="none" w:sz="0" w:space="0" w:color="auto"/>
        <w:right w:val="none" w:sz="0" w:space="0" w:color="auto"/>
      </w:divBdr>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43583159">
      <w:bodyDiv w:val="1"/>
      <w:marLeft w:val="0"/>
      <w:marRight w:val="0"/>
      <w:marTop w:val="0"/>
      <w:marBottom w:val="0"/>
      <w:divBdr>
        <w:top w:val="none" w:sz="0" w:space="0" w:color="auto"/>
        <w:left w:val="none" w:sz="0" w:space="0" w:color="auto"/>
        <w:bottom w:val="none" w:sz="0" w:space="0" w:color="auto"/>
        <w:right w:val="none" w:sz="0" w:space="0" w:color="auto"/>
      </w:divBdr>
      <w:divsChild>
        <w:div w:id="932855471">
          <w:marLeft w:val="0"/>
          <w:marRight w:val="0"/>
          <w:marTop w:val="0"/>
          <w:marBottom w:val="0"/>
          <w:divBdr>
            <w:top w:val="none" w:sz="0" w:space="0" w:color="auto"/>
            <w:left w:val="none" w:sz="0" w:space="0" w:color="auto"/>
            <w:bottom w:val="none" w:sz="0" w:space="0" w:color="auto"/>
            <w:right w:val="none" w:sz="0" w:space="0" w:color="auto"/>
          </w:divBdr>
          <w:divsChild>
            <w:div w:id="851531099">
              <w:marLeft w:val="135"/>
              <w:marRight w:val="0"/>
              <w:marTop w:val="0"/>
              <w:marBottom w:val="45"/>
              <w:divBdr>
                <w:top w:val="single" w:sz="6" w:space="0" w:color="C7D0DF"/>
                <w:left w:val="single" w:sz="6" w:space="0" w:color="C7D0DF"/>
                <w:bottom w:val="single" w:sz="6" w:space="6" w:color="C7D0DF"/>
                <w:right w:val="single" w:sz="6" w:space="0" w:color="C7D0DF"/>
              </w:divBdr>
              <w:divsChild>
                <w:div w:id="600065839">
                  <w:marLeft w:val="0"/>
                  <w:marRight w:val="0"/>
                  <w:marTop w:val="0"/>
                  <w:marBottom w:val="0"/>
                  <w:divBdr>
                    <w:top w:val="none" w:sz="0" w:space="0" w:color="auto"/>
                    <w:left w:val="none" w:sz="0" w:space="0" w:color="auto"/>
                    <w:bottom w:val="single" w:sz="6" w:space="2" w:color="A2B5D3"/>
                    <w:right w:val="none" w:sz="0" w:space="0" w:color="auto"/>
                  </w:divBdr>
                </w:div>
                <w:div w:id="1794127187">
                  <w:marLeft w:val="0"/>
                  <w:marRight w:val="0"/>
                  <w:marTop w:val="0"/>
                  <w:marBottom w:val="0"/>
                  <w:divBdr>
                    <w:top w:val="none" w:sz="0" w:space="0" w:color="auto"/>
                    <w:left w:val="none" w:sz="0" w:space="0" w:color="auto"/>
                    <w:bottom w:val="dotted" w:sz="6" w:space="0" w:color="999999"/>
                    <w:right w:val="none" w:sz="0" w:space="0" w:color="auto"/>
                  </w:divBdr>
                </w:div>
                <w:div w:id="325403327">
                  <w:marLeft w:val="0"/>
                  <w:marRight w:val="0"/>
                  <w:marTop w:val="0"/>
                  <w:marBottom w:val="0"/>
                  <w:divBdr>
                    <w:top w:val="none" w:sz="0" w:space="0" w:color="auto"/>
                    <w:left w:val="none" w:sz="0" w:space="0" w:color="auto"/>
                    <w:bottom w:val="none" w:sz="0" w:space="0" w:color="auto"/>
                    <w:right w:val="none" w:sz="0" w:space="0" w:color="auto"/>
                  </w:divBdr>
                  <w:divsChild>
                    <w:div w:id="11307036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45811276">
      <w:bodyDiv w:val="1"/>
      <w:marLeft w:val="0"/>
      <w:marRight w:val="0"/>
      <w:marTop w:val="0"/>
      <w:marBottom w:val="0"/>
      <w:divBdr>
        <w:top w:val="none" w:sz="0" w:space="0" w:color="auto"/>
        <w:left w:val="none" w:sz="0" w:space="0" w:color="auto"/>
        <w:bottom w:val="none" w:sz="0" w:space="0" w:color="auto"/>
        <w:right w:val="none" w:sz="0" w:space="0" w:color="auto"/>
      </w:divBdr>
      <w:divsChild>
        <w:div w:id="841311174">
          <w:marLeft w:val="0"/>
          <w:marRight w:val="0"/>
          <w:marTop w:val="75"/>
          <w:marBottom w:val="75"/>
          <w:divBdr>
            <w:top w:val="none" w:sz="0" w:space="0" w:color="auto"/>
            <w:left w:val="none" w:sz="0" w:space="0" w:color="auto"/>
            <w:bottom w:val="single" w:sz="6" w:space="2" w:color="CCCCCC"/>
            <w:right w:val="none" w:sz="0" w:space="0" w:color="auto"/>
          </w:divBdr>
          <w:divsChild>
            <w:div w:id="638268898">
              <w:marLeft w:val="0"/>
              <w:marRight w:val="0"/>
              <w:marTop w:val="0"/>
              <w:marBottom w:val="75"/>
              <w:divBdr>
                <w:top w:val="none" w:sz="0" w:space="0" w:color="auto"/>
                <w:left w:val="none" w:sz="0" w:space="0" w:color="auto"/>
                <w:bottom w:val="none" w:sz="0" w:space="0" w:color="auto"/>
                <w:right w:val="none" w:sz="0" w:space="0" w:color="auto"/>
              </w:divBdr>
            </w:div>
          </w:divsChild>
        </w:div>
        <w:div w:id="1919288232">
          <w:marLeft w:val="0"/>
          <w:marRight w:val="0"/>
          <w:marTop w:val="0"/>
          <w:marBottom w:val="30"/>
          <w:divBdr>
            <w:top w:val="none" w:sz="0" w:space="0" w:color="auto"/>
            <w:left w:val="none" w:sz="0" w:space="0" w:color="auto"/>
            <w:bottom w:val="none" w:sz="0" w:space="0" w:color="auto"/>
            <w:right w:val="none" w:sz="0" w:space="0" w:color="auto"/>
          </w:divBdr>
          <w:divsChild>
            <w:div w:id="1384600059">
              <w:marLeft w:val="0"/>
              <w:marRight w:val="225"/>
              <w:marTop w:val="0"/>
              <w:marBottom w:val="0"/>
              <w:divBdr>
                <w:top w:val="none" w:sz="0" w:space="0" w:color="auto"/>
                <w:left w:val="none" w:sz="0" w:space="0" w:color="auto"/>
                <w:bottom w:val="none" w:sz="0" w:space="0" w:color="auto"/>
                <w:right w:val="none" w:sz="0" w:space="0" w:color="auto"/>
              </w:divBdr>
            </w:div>
            <w:div w:id="549388528">
              <w:marLeft w:val="0"/>
              <w:marRight w:val="225"/>
              <w:marTop w:val="0"/>
              <w:marBottom w:val="0"/>
              <w:divBdr>
                <w:top w:val="none" w:sz="0" w:space="0" w:color="auto"/>
                <w:left w:val="none" w:sz="0" w:space="0" w:color="auto"/>
                <w:bottom w:val="none" w:sz="0" w:space="0" w:color="auto"/>
                <w:right w:val="none" w:sz="0" w:space="0" w:color="auto"/>
              </w:divBdr>
            </w:div>
            <w:div w:id="1841656308">
              <w:marLeft w:val="0"/>
              <w:marRight w:val="225"/>
              <w:marTop w:val="0"/>
              <w:marBottom w:val="0"/>
              <w:divBdr>
                <w:top w:val="none" w:sz="0" w:space="0" w:color="auto"/>
                <w:left w:val="none" w:sz="0" w:space="0" w:color="auto"/>
                <w:bottom w:val="none" w:sz="0" w:space="0" w:color="auto"/>
                <w:right w:val="none" w:sz="0" w:space="0" w:color="auto"/>
              </w:divBdr>
            </w:div>
            <w:div w:id="1414744109">
              <w:marLeft w:val="0"/>
              <w:marRight w:val="225"/>
              <w:marTop w:val="0"/>
              <w:marBottom w:val="0"/>
              <w:divBdr>
                <w:top w:val="none" w:sz="0" w:space="0" w:color="auto"/>
                <w:left w:val="none" w:sz="0" w:space="0" w:color="auto"/>
                <w:bottom w:val="none" w:sz="0" w:space="0" w:color="auto"/>
                <w:right w:val="none" w:sz="0" w:space="0" w:color="auto"/>
              </w:divBdr>
            </w:div>
          </w:divsChild>
        </w:div>
        <w:div w:id="438841810">
          <w:marLeft w:val="0"/>
          <w:marRight w:val="0"/>
          <w:marTop w:val="0"/>
          <w:marBottom w:val="75"/>
          <w:divBdr>
            <w:top w:val="none" w:sz="0" w:space="0" w:color="auto"/>
            <w:left w:val="none" w:sz="0" w:space="0" w:color="auto"/>
            <w:bottom w:val="none" w:sz="0" w:space="0" w:color="auto"/>
            <w:right w:val="none" w:sz="0" w:space="0" w:color="auto"/>
          </w:divBdr>
          <w:divsChild>
            <w:div w:id="305670888">
              <w:marLeft w:val="0"/>
              <w:marRight w:val="0"/>
              <w:marTop w:val="0"/>
              <w:marBottom w:val="0"/>
              <w:divBdr>
                <w:top w:val="none" w:sz="0" w:space="0" w:color="auto"/>
                <w:left w:val="none" w:sz="0" w:space="0" w:color="auto"/>
                <w:bottom w:val="none" w:sz="0" w:space="0" w:color="auto"/>
                <w:right w:val="none" w:sz="0" w:space="0" w:color="auto"/>
              </w:divBdr>
              <w:divsChild>
                <w:div w:id="1209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943473">
      <w:bodyDiv w:val="1"/>
      <w:marLeft w:val="0"/>
      <w:marRight w:val="0"/>
      <w:marTop w:val="0"/>
      <w:marBottom w:val="0"/>
      <w:divBdr>
        <w:top w:val="none" w:sz="0" w:space="0" w:color="auto"/>
        <w:left w:val="none" w:sz="0" w:space="0" w:color="auto"/>
        <w:bottom w:val="none" w:sz="0" w:space="0" w:color="auto"/>
        <w:right w:val="none" w:sz="0" w:space="0" w:color="auto"/>
      </w:divBdr>
      <w:divsChild>
        <w:div w:id="2141416901">
          <w:marLeft w:val="0"/>
          <w:marRight w:val="0"/>
          <w:marTop w:val="0"/>
          <w:marBottom w:val="0"/>
          <w:divBdr>
            <w:top w:val="none" w:sz="0" w:space="0" w:color="auto"/>
            <w:left w:val="none" w:sz="0" w:space="0" w:color="auto"/>
            <w:bottom w:val="none" w:sz="0" w:space="0" w:color="auto"/>
            <w:right w:val="none" w:sz="0" w:space="0" w:color="auto"/>
          </w:divBdr>
          <w:divsChild>
            <w:div w:id="666053563">
              <w:marLeft w:val="0"/>
              <w:marRight w:val="0"/>
              <w:marTop w:val="0"/>
              <w:marBottom w:val="0"/>
              <w:divBdr>
                <w:top w:val="none" w:sz="0" w:space="0" w:color="auto"/>
                <w:left w:val="none" w:sz="0" w:space="0" w:color="auto"/>
                <w:bottom w:val="none" w:sz="0" w:space="0" w:color="auto"/>
                <w:right w:val="none" w:sz="0" w:space="0" w:color="auto"/>
              </w:divBdr>
            </w:div>
            <w:div w:id="829709085">
              <w:marLeft w:val="0"/>
              <w:marRight w:val="0"/>
              <w:marTop w:val="150"/>
              <w:marBottom w:val="0"/>
              <w:divBdr>
                <w:top w:val="single" w:sz="6" w:space="11" w:color="D7D7D7"/>
                <w:left w:val="none" w:sz="0" w:space="0" w:color="auto"/>
                <w:bottom w:val="none" w:sz="0" w:space="0" w:color="auto"/>
                <w:right w:val="none" w:sz="0" w:space="0" w:color="auto"/>
              </w:divBdr>
              <w:divsChild>
                <w:div w:id="1583903753">
                  <w:marLeft w:val="0"/>
                  <w:marRight w:val="0"/>
                  <w:marTop w:val="0"/>
                  <w:marBottom w:val="0"/>
                  <w:divBdr>
                    <w:top w:val="none" w:sz="0" w:space="0" w:color="auto"/>
                    <w:left w:val="none" w:sz="0" w:space="0" w:color="auto"/>
                    <w:bottom w:val="none" w:sz="0" w:space="0" w:color="auto"/>
                    <w:right w:val="none" w:sz="0" w:space="0" w:color="auto"/>
                  </w:divBdr>
                  <w:divsChild>
                    <w:div w:id="6919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2079">
          <w:marLeft w:val="0"/>
          <w:marRight w:val="0"/>
          <w:marTop w:val="225"/>
          <w:marBottom w:val="225"/>
          <w:divBdr>
            <w:top w:val="none" w:sz="0" w:space="0" w:color="auto"/>
            <w:left w:val="none" w:sz="0" w:space="0" w:color="auto"/>
            <w:bottom w:val="none" w:sz="0" w:space="0" w:color="auto"/>
            <w:right w:val="none" w:sz="0" w:space="0" w:color="auto"/>
          </w:divBdr>
          <w:divsChild>
            <w:div w:id="1206210610">
              <w:marLeft w:val="0"/>
              <w:marRight w:val="0"/>
              <w:marTop w:val="0"/>
              <w:marBottom w:val="0"/>
              <w:divBdr>
                <w:top w:val="none" w:sz="0" w:space="0" w:color="auto"/>
                <w:left w:val="none" w:sz="0" w:space="0" w:color="auto"/>
                <w:bottom w:val="none" w:sz="0" w:space="0" w:color="auto"/>
                <w:right w:val="none" w:sz="0" w:space="0" w:color="auto"/>
              </w:divBdr>
            </w:div>
          </w:divsChild>
        </w:div>
        <w:div w:id="15428191">
          <w:marLeft w:val="0"/>
          <w:marRight w:val="0"/>
          <w:marTop w:val="0"/>
          <w:marBottom w:val="0"/>
          <w:divBdr>
            <w:top w:val="none" w:sz="0" w:space="0" w:color="auto"/>
            <w:left w:val="none" w:sz="0" w:space="0" w:color="auto"/>
            <w:bottom w:val="none" w:sz="0" w:space="0" w:color="auto"/>
            <w:right w:val="none" w:sz="0" w:space="0" w:color="auto"/>
          </w:divBdr>
          <w:divsChild>
            <w:div w:id="1687555513">
              <w:marLeft w:val="0"/>
              <w:marRight w:val="300"/>
              <w:marTop w:val="0"/>
              <w:marBottom w:val="300"/>
              <w:divBdr>
                <w:top w:val="none" w:sz="0" w:space="0" w:color="auto"/>
                <w:left w:val="none" w:sz="0" w:space="0" w:color="auto"/>
                <w:bottom w:val="none" w:sz="0" w:space="0" w:color="auto"/>
                <w:right w:val="none" w:sz="0" w:space="0" w:color="auto"/>
              </w:divBdr>
              <w:divsChild>
                <w:div w:id="2140102128">
                  <w:marLeft w:val="0"/>
                  <w:marRight w:val="0"/>
                  <w:marTop w:val="0"/>
                  <w:marBottom w:val="0"/>
                  <w:divBdr>
                    <w:top w:val="none" w:sz="0" w:space="0" w:color="auto"/>
                    <w:left w:val="none" w:sz="0" w:space="0" w:color="auto"/>
                    <w:bottom w:val="none" w:sz="0" w:space="0" w:color="auto"/>
                    <w:right w:val="none" w:sz="0" w:space="0" w:color="auto"/>
                  </w:divBdr>
                  <w:divsChild>
                    <w:div w:id="8454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1985352509">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51950524">
      <w:bodyDiv w:val="1"/>
      <w:marLeft w:val="0"/>
      <w:marRight w:val="0"/>
      <w:marTop w:val="0"/>
      <w:marBottom w:val="0"/>
      <w:divBdr>
        <w:top w:val="none" w:sz="0" w:space="0" w:color="auto"/>
        <w:left w:val="none" w:sz="0" w:space="0" w:color="auto"/>
        <w:bottom w:val="none" w:sz="0" w:space="0" w:color="auto"/>
        <w:right w:val="none" w:sz="0" w:space="0" w:color="auto"/>
      </w:divBdr>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15325496">
      <w:bodyDiv w:val="1"/>
      <w:marLeft w:val="0"/>
      <w:marRight w:val="0"/>
      <w:marTop w:val="0"/>
      <w:marBottom w:val="0"/>
      <w:divBdr>
        <w:top w:val="none" w:sz="0" w:space="0" w:color="auto"/>
        <w:left w:val="none" w:sz="0" w:space="0" w:color="auto"/>
        <w:bottom w:val="none" w:sz="0" w:space="0" w:color="auto"/>
        <w:right w:val="none" w:sz="0" w:space="0" w:color="auto"/>
      </w:divBdr>
      <w:divsChild>
        <w:div w:id="434053890">
          <w:marLeft w:val="0"/>
          <w:marRight w:val="0"/>
          <w:marTop w:val="100"/>
          <w:marBottom w:val="100"/>
          <w:divBdr>
            <w:top w:val="none" w:sz="0" w:space="0" w:color="auto"/>
            <w:left w:val="none" w:sz="0" w:space="0" w:color="auto"/>
            <w:bottom w:val="none" w:sz="0" w:space="0" w:color="auto"/>
            <w:right w:val="none" w:sz="0" w:space="0" w:color="auto"/>
          </w:divBdr>
          <w:divsChild>
            <w:div w:id="2036805339">
              <w:marLeft w:val="0"/>
              <w:marRight w:val="0"/>
              <w:marTop w:val="75"/>
              <w:marBottom w:val="75"/>
              <w:divBdr>
                <w:top w:val="none" w:sz="0" w:space="0" w:color="auto"/>
                <w:left w:val="none" w:sz="0" w:space="0" w:color="auto"/>
                <w:bottom w:val="none" w:sz="0" w:space="0" w:color="auto"/>
                <w:right w:val="none" w:sz="0" w:space="0" w:color="auto"/>
              </w:divBdr>
            </w:div>
          </w:divsChild>
        </w:div>
        <w:div w:id="552935596">
          <w:marLeft w:val="0"/>
          <w:marRight w:val="150"/>
          <w:marTop w:val="0"/>
          <w:marBottom w:val="0"/>
          <w:divBdr>
            <w:top w:val="none" w:sz="0" w:space="0" w:color="auto"/>
            <w:left w:val="none" w:sz="0" w:space="0" w:color="auto"/>
            <w:bottom w:val="none" w:sz="0" w:space="0" w:color="auto"/>
            <w:right w:val="none" w:sz="0" w:space="0" w:color="auto"/>
          </w:divBdr>
        </w:div>
      </w:divsChild>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1.firstpost.in/wp-content/uploads/2016/09/GST.reuter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0EE0-8863-4340-A521-A2281E5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1583</TotalTime>
  <Pages>1</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e0747</cp:lastModifiedBy>
  <cp:revision>250</cp:revision>
  <cp:lastPrinted>2016-04-11T04:27:00Z</cp:lastPrinted>
  <dcterms:created xsi:type="dcterms:W3CDTF">2016-02-19T04:37:00Z</dcterms:created>
  <dcterms:modified xsi:type="dcterms:W3CDTF">2016-10-05T05:28:00Z</dcterms:modified>
</cp:coreProperties>
</file>